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505"/>
        </w:tabs>
        <w:spacing w:line="440" w:lineRule="exact"/>
        <w:ind w:firstLine="210" w:firstLineChars="100"/>
        <w:rPr>
          <w:rFonts w:eastAsia="黑体"/>
        </w:rPr>
      </w:pPr>
    </w:p>
    <w:p>
      <w:pPr>
        <w:wordWrap w:val="0"/>
        <w:jc w:val="right"/>
        <w:rPr>
          <w:rFonts w:eastAsia="黑体"/>
        </w:rPr>
      </w:pPr>
      <w:r>
        <w:rPr>
          <w:rFonts w:hint="eastAsia" w:eastAsia="黑体"/>
        </w:rPr>
        <w:drawing>
          <wp:anchor distT="0" distB="0" distL="114300" distR="114300" simplePos="0" relativeHeight="251661312" behindDoc="0" locked="0" layoutInCell="1" allowOverlap="1">
            <wp:simplePos x="0" y="0"/>
            <wp:positionH relativeFrom="column">
              <wp:posOffset>107315</wp:posOffset>
            </wp:positionH>
            <wp:positionV relativeFrom="paragraph">
              <wp:posOffset>60960</wp:posOffset>
            </wp:positionV>
            <wp:extent cx="5415280" cy="685800"/>
            <wp:effectExtent l="0" t="0" r="13970" b="0"/>
            <wp:wrapNone/>
            <wp:docPr id="4" name="图片 4" descr="福建省龙岩市教育局文件"/>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福建省龙岩市教育局文件"/>
                    <pic:cNvPicPr>
                      <a:picLocks noChangeAspect="true" noChangeArrowheads="true"/>
                    </pic:cNvPicPr>
                  </pic:nvPicPr>
                  <pic:blipFill>
                    <a:blip r:embed="rId17" cstate="print"/>
                    <a:srcRect/>
                    <a:stretch>
                      <a:fillRect/>
                    </a:stretch>
                  </pic:blipFill>
                  <pic:spPr>
                    <a:xfrm>
                      <a:off x="0" y="0"/>
                      <a:ext cx="5415280" cy="685800"/>
                    </a:xfrm>
                    <a:prstGeom prst="rect">
                      <a:avLst/>
                    </a:prstGeom>
                    <a:noFill/>
                    <a:ln w="9525">
                      <a:noFill/>
                      <a:miter lim="800000"/>
                      <a:headEnd/>
                      <a:tailEnd/>
                    </a:ln>
                  </pic:spPr>
                </pic:pic>
              </a:graphicData>
            </a:graphic>
          </wp:anchor>
        </w:drawing>
      </w:r>
    </w:p>
    <w:p>
      <w:pPr>
        <w:jc w:val="right"/>
      </w:pPr>
    </w:p>
    <w:p>
      <w:pPr>
        <w:spacing w:line="480" w:lineRule="exact"/>
        <w:ind w:right="2407" w:rightChars="1146" w:firstLine="1557" w:firstLineChars="354"/>
        <w:jc w:val="center"/>
        <w:rPr>
          <w:color w:val="FF0000"/>
          <w:sz w:val="44"/>
          <w:szCs w:val="44"/>
        </w:rPr>
      </w:pPr>
    </w:p>
    <w:p>
      <w:pPr>
        <w:spacing w:line="480" w:lineRule="exact"/>
        <w:ind w:right="2407" w:rightChars="1146" w:firstLine="1699" w:firstLineChars="354"/>
        <w:jc w:val="center"/>
        <w:rPr>
          <w:color w:val="FF0000"/>
          <w:sz w:val="48"/>
          <w:szCs w:val="48"/>
        </w:rPr>
      </w:pPr>
    </w:p>
    <w:p>
      <w:pPr>
        <w:jc w:val="center"/>
        <w:rPr>
          <w:szCs w:val="21"/>
        </w:rPr>
      </w:pPr>
      <w:r>
        <w:rPr>
          <w:rFonts w:hint="eastAsia" w:ascii="仿宋_GB2312" w:eastAsia="仿宋_GB2312"/>
          <w:sz w:val="32"/>
          <w:szCs w:val="32"/>
        </w:rPr>
        <w:t>岩教办〔2024〕</w:t>
      </w:r>
      <w:r>
        <w:rPr>
          <w:rFonts w:hint="eastAsia" w:ascii="仿宋_GB2312" w:eastAsia="仿宋_GB2312"/>
          <w:sz w:val="32"/>
          <w:szCs w:val="32"/>
          <w:lang w:val="en-US" w:eastAsia="zh-CN"/>
        </w:rPr>
        <w:t>16</w:t>
      </w:r>
      <w:r>
        <w:rPr>
          <w:rFonts w:hint="eastAsia" w:ascii="仿宋_GB2312" w:eastAsia="仿宋_GB2312"/>
          <w:sz w:val="32"/>
          <w:szCs w:val="32"/>
        </w:rPr>
        <w:t>号</w:t>
      </w:r>
    </w:p>
    <w:p>
      <w:pPr>
        <w:spacing w:line="540" w:lineRule="exact"/>
        <w:jc w:val="center"/>
        <w:rPr>
          <w:rFonts w:ascii="宋体" w:hAnsi="宋体" w:cs="宋体"/>
          <w:b/>
          <w:bCs/>
          <w:sz w:val="44"/>
          <w:szCs w:val="44"/>
        </w:rPr>
      </w:pPr>
      <w:bookmarkStart w:id="0" w:name="发文机关"/>
      <w:bookmarkEnd w:id="0"/>
      <w:r>
        <w:rPr>
          <w:rFonts w:ascii="黑体" w:eastAsia="黑体"/>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6007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2pt;height:0pt;width:441pt;z-index:251660288;mso-width-relative:page;mso-height-relative:page;" filled="f" stroked="t" coordsize="21600,21600" o:gfxdata="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qCJP&#10;3dIAAAACAQAADwAAAAAAAAABACAAAAA4AAAAZHJzL2Rvd25yZXYueG1sUEsBAhQAFAAAAAgAh07i&#10;QN5lKznZAQAAmQMAAA4AAAAAAAAAAQAgAAAANwEAAGRycy9lMm9Eb2MueG1sUEsFBgAAAAAGAAYA&#10;WQEAAIIFAAAAAA==&#10;">
                <v:fill on="f" focussize="0,0"/>
                <v:stroke weight="1.5pt" color="#FF0000" joinstyle="round"/>
                <v:imagedata o:title=""/>
                <o:lock v:ext="edit" aspectratio="f"/>
              </v:line>
            </w:pict>
          </mc:Fallback>
        </mc:AlternateContent>
      </w:r>
    </w:p>
    <w:p>
      <w:pPr>
        <w:overflowPunct w:val="0"/>
        <w:snapToGrid w:val="0"/>
        <w:spacing w:line="54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龙岩市教育局办公室关于举办2024年龙岩市职业院校技能大赛思想政治教育课程教学</w:t>
      </w:r>
    </w:p>
    <w:p>
      <w:pPr>
        <w:overflowPunct w:val="0"/>
        <w:snapToGrid w:val="0"/>
        <w:spacing w:line="54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能力比赛的通知</w:t>
      </w:r>
    </w:p>
    <w:p>
      <w:pPr>
        <w:overflowPunct w:val="0"/>
        <w:spacing w:line="540" w:lineRule="exact"/>
        <w:outlineLvl w:val="0"/>
        <w:rPr>
          <w:rFonts w:ascii="仿宋" w:hAnsi="仿宋" w:eastAsia="仿宋" w:cs="仿宋"/>
          <w:bCs/>
          <w:sz w:val="32"/>
          <w:szCs w:val="32"/>
        </w:rPr>
      </w:pPr>
    </w:p>
    <w:p>
      <w:pPr>
        <w:overflowPunct w:val="0"/>
        <w:spacing w:line="540" w:lineRule="exact"/>
        <w:outlineLvl w:val="0"/>
        <w:rPr>
          <w:rFonts w:ascii="仿宋_GB2312" w:hAnsi="仿宋" w:eastAsia="仿宋_GB2312" w:cs="仿宋"/>
          <w:sz w:val="32"/>
          <w:szCs w:val="32"/>
        </w:rPr>
      </w:pPr>
      <w:r>
        <w:rPr>
          <w:rFonts w:hint="eastAsia" w:ascii="仿宋_GB2312" w:hAnsi="仿宋" w:eastAsia="仿宋_GB2312" w:cs="仿宋"/>
          <w:bCs/>
          <w:sz w:val="32"/>
          <w:szCs w:val="32"/>
        </w:rPr>
        <w:t>各县（市、区）教育局，闽西职业技术学院、市属中等职业学校（技工院校）：</w:t>
      </w:r>
    </w:p>
    <w:p>
      <w:pPr>
        <w:tabs>
          <w:tab w:val="left" w:pos="7797"/>
        </w:tabs>
        <w:spacing w:line="540" w:lineRule="exact"/>
        <w:ind w:firstLine="640"/>
        <w:jc w:val="left"/>
        <w:rPr>
          <w:rFonts w:ascii="仿宋_GB2312" w:hAnsi="仿宋" w:eastAsia="仿宋_GB2312" w:cs="仿宋"/>
          <w:color w:val="000000"/>
          <w:kern w:val="0"/>
          <w:sz w:val="32"/>
          <w:szCs w:val="32"/>
        </w:rPr>
      </w:pPr>
      <w:r>
        <w:rPr>
          <w:rFonts w:hint="eastAsia" w:ascii="仿宋_GB2312" w:hAnsi="仿宋_GB2312" w:eastAsia="仿宋_GB2312" w:cs="仿宋_GB2312"/>
          <w:sz w:val="32"/>
          <w:szCs w:val="32"/>
        </w:rPr>
        <w:t>为学习贯彻党的二十大精神，落实全国、全省职业教育大会精神和新修订的职业教育法，加强我市职业院校思政课教师队伍建设，不断提升思政课教师队伍“六个要”素养，更好地发挥教师的积极性、主动性、创造性，</w:t>
      </w:r>
      <w:r>
        <w:rPr>
          <w:rFonts w:hint="eastAsia" w:ascii="仿宋_GB2312" w:hAnsi="仿宋" w:eastAsia="仿宋_GB2312" w:cs="仿宋"/>
          <w:color w:val="000000"/>
          <w:kern w:val="0"/>
          <w:sz w:val="32"/>
          <w:szCs w:val="32"/>
        </w:rPr>
        <w:t>根据</w:t>
      </w:r>
      <w:r>
        <w:rPr>
          <w:rFonts w:hint="eastAsia" w:ascii="仿宋_GB2312" w:hAnsi="仿宋_GB2312" w:eastAsia="仿宋_GB2312" w:cs="仿宋_GB2312"/>
          <w:sz w:val="32"/>
          <w:szCs w:val="32"/>
        </w:rPr>
        <w:t>《福建省教育厅关于举办2024年福建省职业院校技能大赛思想政治教育课程教学能力比赛的通知》，经研究，决定举办2024年龙岩市</w:t>
      </w:r>
      <w:r>
        <w:rPr>
          <w:rFonts w:ascii="仿宋_GB2312" w:hAnsi="仿宋_GB2312" w:eastAsia="仿宋_GB2312" w:cs="仿宋_GB2312"/>
          <w:sz w:val="32"/>
          <w:szCs w:val="32"/>
        </w:rPr>
        <w:t>职业院校技能大赛思想政治教育课程教学能力比赛</w:t>
      </w:r>
      <w:r>
        <w:rPr>
          <w:rFonts w:hint="eastAsia" w:ascii="仿宋_GB2312" w:hAnsi="仿宋_GB2312" w:eastAsia="仿宋_GB2312" w:cs="仿宋_GB2312"/>
          <w:sz w:val="32"/>
          <w:szCs w:val="32"/>
        </w:rPr>
        <w:t>，</w:t>
      </w:r>
      <w:r>
        <w:rPr>
          <w:rFonts w:hint="eastAsia" w:ascii="仿宋_GB2312" w:hAnsi="仿宋" w:eastAsia="仿宋_GB2312" w:cs="仿宋"/>
          <w:color w:val="000000"/>
          <w:kern w:val="0"/>
          <w:sz w:val="32"/>
          <w:szCs w:val="32"/>
        </w:rPr>
        <w:t>现将相关事项通知如下。</w:t>
      </w:r>
    </w:p>
    <w:p>
      <w:pPr>
        <w:overflowPunct w:val="0"/>
        <w:spacing w:line="54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一、比赛要求、比赛分组、参赛对象、参赛作品及材料</w:t>
      </w:r>
    </w:p>
    <w:p>
      <w:pPr>
        <w:overflowPunct w:val="0"/>
        <w:spacing w:line="540" w:lineRule="exact"/>
        <w:ind w:firstLine="643" w:firstLineChars="200"/>
        <w:outlineLvl w:val="0"/>
        <w:rPr>
          <w:rFonts w:ascii="仿宋_GB2312" w:hAnsi="仿宋_GB2312" w:eastAsia="仿宋_GB2312" w:cs="仿宋_GB2312"/>
          <w:sz w:val="32"/>
          <w:szCs w:val="32"/>
        </w:rPr>
      </w:pPr>
      <w:r>
        <w:rPr>
          <w:rFonts w:hint="eastAsia" w:ascii="楷体" w:hAnsi="楷体" w:eastAsia="楷体" w:cs="仿宋"/>
          <w:b/>
          <w:sz w:val="32"/>
          <w:szCs w:val="32"/>
        </w:rPr>
        <w:t>（一）比赛要求</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考察教学团队（2-4人）的思政课教学能力，主要通过评审参赛材料及表现，综合考察针对所任教班级，深入开展学情分析，围绕中职思政课有关教学内容，完成教学设计、做好教学实施、评价教学成效、进行反思改进的能力。</w:t>
      </w:r>
    </w:p>
    <w:p>
      <w:pPr>
        <w:ind w:firstLine="643" w:firstLineChars="200"/>
        <w:rPr>
          <w:rFonts w:ascii="楷体" w:hAnsi="楷体" w:eastAsia="楷体" w:cs="仿宋"/>
          <w:b/>
          <w:sz w:val="32"/>
          <w:szCs w:val="32"/>
        </w:rPr>
      </w:pPr>
      <w:r>
        <w:rPr>
          <w:rFonts w:hint="eastAsia" w:ascii="楷体" w:hAnsi="楷体" w:eastAsia="楷体" w:cs="仿宋"/>
          <w:b/>
          <w:sz w:val="32"/>
          <w:szCs w:val="32"/>
        </w:rPr>
        <w:t>（二）比赛分组</w:t>
      </w:r>
    </w:p>
    <w:p>
      <w:pPr>
        <w:overflowPunct w:val="0"/>
        <w:adjustRightInd w:val="0"/>
        <w:snapToGrid w:val="0"/>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按照中等职业学校思想政治课（以下简称中职思政课）基础模块四部分内容，设中国特色社会主义、心理健康与职业生涯、哲学与人生、职业道德与法治 4 个报名组别。</w:t>
      </w:r>
    </w:p>
    <w:p>
      <w:pPr>
        <w:numPr>
          <w:ilvl w:val="0"/>
          <w:numId w:val="1"/>
        </w:numPr>
        <w:overflowPunct w:val="0"/>
        <w:spacing w:line="540" w:lineRule="exact"/>
        <w:ind w:firstLine="643" w:firstLineChars="200"/>
        <w:rPr>
          <w:rFonts w:ascii="楷体" w:hAnsi="楷体" w:eastAsia="楷体" w:cs="仿宋"/>
          <w:b/>
          <w:bCs/>
          <w:sz w:val="32"/>
          <w:szCs w:val="32"/>
        </w:rPr>
      </w:pPr>
      <w:r>
        <w:rPr>
          <w:rFonts w:hint="eastAsia" w:ascii="楷体" w:hAnsi="楷体" w:eastAsia="楷体" w:cs="仿宋"/>
          <w:b/>
          <w:bCs/>
          <w:sz w:val="32"/>
          <w:szCs w:val="32"/>
        </w:rPr>
        <w:t>参赛对象</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教学团队（2-4人）均应为职业院校（不含教研机构）在职思政课教师，教龄3年（含）以上。教学团队成员须在2023—2024学年承担中职思政课必修课程教学任务，或在本校承担高职思政课教学任务。</w:t>
      </w:r>
    </w:p>
    <w:p>
      <w:pPr>
        <w:adjustRightInd w:val="0"/>
        <w:snapToGrid w:val="0"/>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(四)参赛作品及材料</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材料包括参赛教学内容对应的教案（不少于12学时）、若干段教学实施或试教试讲的课堂实录视频、实际教学或试教试讲的教学情况报告（有关要求见附件1）。参赛材料应为原创，不得违反国家相关法律法规，不得侵犯他人知识产权，引用应注明出处。如引起知识产权异议或其他法律纠纷，责任自负。涉及软件使用的，应保证为正版软件，鼓励使用国产软件（自主可控）。</w:t>
      </w:r>
    </w:p>
    <w:p>
      <w:pPr>
        <w:overflowPunct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比赛要求、比赛分组、参赛对象、参赛作品及材料等与</w:t>
      </w:r>
      <w:r>
        <w:rPr>
          <w:rFonts w:hint="eastAsia" w:ascii="仿宋_GB2312" w:hAnsi="仿宋" w:eastAsia="仿宋_GB2312" w:cs="仿宋"/>
          <w:color w:val="000000"/>
          <w:kern w:val="0"/>
          <w:sz w:val="32"/>
          <w:szCs w:val="32"/>
        </w:rPr>
        <w:t>《</w:t>
      </w:r>
      <w:r>
        <w:rPr>
          <w:rFonts w:hint="eastAsia" w:ascii="仿宋_GB2312" w:hAnsi="仿宋" w:eastAsia="仿宋_GB2312" w:cs="仿宋"/>
          <w:sz w:val="32"/>
          <w:szCs w:val="32"/>
        </w:rPr>
        <w:t>福建省教育厅关于举办</w:t>
      </w:r>
      <w:r>
        <w:rPr>
          <w:rFonts w:hint="eastAsia" w:ascii="仿宋_GB2312" w:hAnsi="仿宋_GB2312" w:eastAsia="仿宋_GB2312" w:cs="仿宋_GB2312"/>
          <w:sz w:val="32"/>
          <w:szCs w:val="32"/>
        </w:rPr>
        <w:t>2024年福建省职业院校技能大赛思想政治教育课程教学能力比赛的通知</w:t>
      </w:r>
      <w:r>
        <w:rPr>
          <w:rFonts w:hint="eastAsia" w:ascii="仿宋_GB2312" w:hAnsi="仿宋" w:eastAsia="仿宋_GB2312" w:cs="仿宋"/>
          <w:sz w:val="32"/>
          <w:szCs w:val="32"/>
        </w:rPr>
        <w:t>》要求一致。</w:t>
      </w:r>
    </w:p>
    <w:p>
      <w:pPr>
        <w:overflowPunct w:val="0"/>
        <w:spacing w:line="540" w:lineRule="exact"/>
        <w:ind w:firstLine="640" w:firstLineChars="200"/>
        <w:outlineLvl w:val="0"/>
        <w:rPr>
          <w:rFonts w:ascii="楷体" w:hAnsi="楷体" w:eastAsia="楷体" w:cs="仿宋"/>
          <w:b/>
          <w:sz w:val="32"/>
          <w:szCs w:val="32"/>
        </w:rPr>
      </w:pPr>
      <w:r>
        <w:rPr>
          <w:rFonts w:hint="eastAsia" w:ascii="黑体" w:hAnsi="黑体" w:eastAsia="黑体" w:cs="黑体"/>
          <w:sz w:val="32"/>
          <w:szCs w:val="32"/>
        </w:rPr>
        <w:t>二、参赛限额、比赛办法、奖励办法、材料报送</w:t>
      </w:r>
    </w:p>
    <w:p>
      <w:pPr>
        <w:overflowPunct w:val="0"/>
        <w:spacing w:line="540" w:lineRule="exact"/>
        <w:ind w:firstLine="643" w:firstLineChars="200"/>
        <w:rPr>
          <w:rFonts w:ascii="楷体" w:hAnsi="楷体" w:eastAsia="楷体" w:cs="仿宋"/>
          <w:b/>
          <w:sz w:val="32"/>
          <w:szCs w:val="32"/>
        </w:rPr>
      </w:pPr>
      <w:r>
        <w:rPr>
          <w:rFonts w:hint="eastAsia" w:ascii="楷体" w:hAnsi="楷体" w:eastAsia="楷体" w:cs="仿宋"/>
          <w:b/>
          <w:sz w:val="32"/>
          <w:szCs w:val="32"/>
        </w:rPr>
        <w:t>(一)参赛限额</w:t>
      </w:r>
    </w:p>
    <w:p>
      <w:pPr>
        <w:adjustRightInd w:val="0"/>
        <w:snapToGrid w:val="0"/>
        <w:spacing w:line="540" w:lineRule="exact"/>
        <w:ind w:firstLine="640" w:firstLineChars="200"/>
      </w:pPr>
      <w:r>
        <w:rPr>
          <w:rFonts w:hint="eastAsia" w:ascii="仿宋_GB2312" w:hAnsi="仿宋_GB2312" w:eastAsia="仿宋_GB2312" w:cs="仿宋_GB2312"/>
          <w:sz w:val="32"/>
          <w:szCs w:val="32"/>
        </w:rPr>
        <w:t>1.以学校为单位组成代表队参加比赛。</w:t>
      </w:r>
      <w:r>
        <w:rPr>
          <w:rFonts w:hint="eastAsia" w:ascii="仿宋_GB2312" w:hAnsi="仿宋" w:eastAsia="仿宋_GB2312" w:cs="仿宋"/>
          <w:sz w:val="32"/>
          <w:szCs w:val="32"/>
        </w:rPr>
        <w:t>省双高校、省示范校</w:t>
      </w:r>
      <w:r>
        <w:rPr>
          <w:rFonts w:hint="eastAsia" w:ascii="仿宋_GB2312" w:hAnsi="仿宋_GB2312" w:eastAsia="仿宋_GB2312" w:cs="仿宋_GB2312"/>
          <w:bCs/>
          <w:sz w:val="32"/>
          <w:szCs w:val="32"/>
        </w:rPr>
        <w:t>以上中职学校可</w:t>
      </w:r>
      <w:r>
        <w:rPr>
          <w:rFonts w:hint="eastAsia" w:ascii="仿宋_GB2312" w:hAnsi="仿宋" w:eastAsia="仿宋_GB2312" w:cs="仿宋"/>
          <w:sz w:val="32"/>
          <w:szCs w:val="32"/>
        </w:rPr>
        <w:t>报2件参赛作品，其他中职学校最多报1件以上参赛作品。</w:t>
      </w:r>
    </w:p>
    <w:p>
      <w:pPr>
        <w:overflowPunct w:val="0"/>
        <w:adjustRightInd w:val="0"/>
        <w:snapToGrid w:val="0"/>
        <w:spacing w:line="560" w:lineRule="exact"/>
        <w:ind w:firstLine="640" w:firstLineChars="200"/>
      </w:pPr>
      <w:r>
        <w:rPr>
          <w:rFonts w:hint="eastAsia" w:ascii="仿宋_GB2312" w:hAnsi="仿宋" w:eastAsia="仿宋_GB2312" w:cs="仿宋"/>
          <w:sz w:val="32"/>
          <w:szCs w:val="32"/>
        </w:rPr>
        <w:t>2.</w:t>
      </w:r>
      <w:r>
        <w:rPr>
          <w:rFonts w:hint="eastAsia" w:ascii="仿宋_GB2312" w:hAnsi="仿宋_GB2312" w:eastAsia="仿宋_GB2312" w:cs="仿宋_GB2312"/>
          <w:sz w:val="32"/>
          <w:szCs w:val="32"/>
        </w:rPr>
        <w:t>各代表队可跨校联合组建教学团队参赛，参赛名额只占用教学团队排名第一成员所在学校的名额。教学团队成员均为中职思政课教师的，成员所在学校应属同设区市；教学团队吸纳高等职业学校思想政治理论课（以下简称高职思政课）教师参加的，应为省内高职院校，且不超过1名。</w:t>
      </w:r>
    </w:p>
    <w:p>
      <w:pPr>
        <w:overflowPunct w:val="0"/>
        <w:spacing w:line="540" w:lineRule="exact"/>
        <w:ind w:firstLine="643" w:firstLineChars="200"/>
        <w:rPr>
          <w:rFonts w:ascii="仿宋_GB2312" w:hAnsi="仿宋_GB2312" w:eastAsia="仿宋_GB2312" w:cs="仿宋_GB2312"/>
          <w:sz w:val="32"/>
          <w:szCs w:val="32"/>
        </w:rPr>
      </w:pPr>
      <w:r>
        <w:rPr>
          <w:rFonts w:hint="eastAsia" w:ascii="楷体" w:hAnsi="楷体" w:eastAsia="楷体" w:cs="仿宋"/>
          <w:b/>
          <w:sz w:val="32"/>
          <w:szCs w:val="32"/>
        </w:rPr>
        <w:t>（二）</w:t>
      </w:r>
      <w:r>
        <w:rPr>
          <w:rFonts w:hint="eastAsia" w:ascii="仿宋_GB2312" w:hAnsi="仿宋_GB2312" w:eastAsia="仿宋_GB2312" w:cs="仿宋_GB2312"/>
          <w:b/>
          <w:bCs/>
          <w:sz w:val="32"/>
          <w:szCs w:val="32"/>
        </w:rPr>
        <w:t>比赛办法</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32"/>
        </w:rPr>
        <w:t>2024年龙岩市职业院校</w:t>
      </w:r>
      <w:r>
        <w:rPr>
          <w:rFonts w:hint="eastAsia" w:ascii="仿宋_GB2312" w:hAnsi="仿宋" w:eastAsia="仿宋_GB2312" w:cs="仿宋"/>
          <w:sz w:val="32"/>
          <w:szCs w:val="32"/>
        </w:rPr>
        <w:t>技能大赛</w:t>
      </w:r>
      <w:r>
        <w:rPr>
          <w:rFonts w:hint="eastAsia" w:ascii="仿宋_GB2312" w:hAnsi="仿宋_GB2312" w:eastAsia="仿宋_GB2312" w:cs="仿宋_GB2312"/>
          <w:sz w:val="32"/>
          <w:szCs w:val="32"/>
        </w:rPr>
        <w:t>思想政治教育课程教学能力比赛</w:t>
      </w:r>
      <w:r>
        <w:rPr>
          <w:rFonts w:hint="eastAsia" w:ascii="仿宋_GB2312" w:hAnsi="仿宋_GB2312" w:eastAsia="仿宋_GB2312" w:cs="仿宋_GB2312"/>
          <w:color w:val="000000"/>
          <w:kern w:val="0"/>
          <w:sz w:val="32"/>
          <w:szCs w:val="32"/>
        </w:rPr>
        <w:t>具体事项由龙岩市职业技术教育与就业指导中心（以下简称市职教中心）牵头负责。</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kern w:val="0"/>
          <w:sz w:val="32"/>
          <w:szCs w:val="32"/>
        </w:rPr>
        <w:t>市职教中心</w:t>
      </w:r>
      <w:r>
        <w:rPr>
          <w:rFonts w:hint="eastAsia" w:ascii="仿宋_GB2312" w:hAnsi="仿宋_GB2312" w:eastAsia="仿宋_GB2312" w:cs="仿宋_GB2312"/>
          <w:sz w:val="32"/>
          <w:szCs w:val="32"/>
        </w:rPr>
        <w:t>组建资格审核小组，对参赛作品的专业备案、课程设置、实际教学、教学团队成员身份等情况进行资格审核，通过资格审核的参赛作品方可进入评审。</w:t>
      </w:r>
    </w:p>
    <w:p>
      <w:pPr>
        <w:overflowPunct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kern w:val="0"/>
          <w:sz w:val="32"/>
          <w:szCs w:val="32"/>
        </w:rPr>
        <w:t>市职教中心</w:t>
      </w:r>
      <w:r>
        <w:rPr>
          <w:rFonts w:hint="eastAsia" w:ascii="仿宋_GB2312" w:hAnsi="仿宋_GB2312" w:eastAsia="仿宋_GB2312" w:cs="仿宋_GB2312"/>
          <w:sz w:val="32"/>
          <w:szCs w:val="32"/>
        </w:rPr>
        <w:t>根据各职业院校报名情况，按专业组建若干评审组，依据《</w:t>
      </w:r>
      <w:r>
        <w:rPr>
          <w:rFonts w:hint="eastAsia" w:ascii="仿宋_GB2312" w:hAnsi="仿宋_GB2312" w:eastAsia="仿宋_GB2312" w:cs="仿宋_GB2312"/>
          <w:color w:val="000000"/>
          <w:kern w:val="0"/>
          <w:sz w:val="32"/>
          <w:szCs w:val="32"/>
        </w:rPr>
        <w:t>2024年福建省职业院校</w:t>
      </w:r>
      <w:r>
        <w:rPr>
          <w:rFonts w:hint="eastAsia" w:ascii="仿宋_GB2312" w:hAnsi="仿宋" w:eastAsia="仿宋_GB2312" w:cs="仿宋"/>
          <w:sz w:val="32"/>
          <w:szCs w:val="32"/>
        </w:rPr>
        <w:t>技能大赛</w:t>
      </w:r>
      <w:r>
        <w:rPr>
          <w:rFonts w:hint="eastAsia" w:ascii="仿宋_GB2312" w:hAnsi="仿宋_GB2312" w:eastAsia="仿宋_GB2312" w:cs="仿宋_GB2312"/>
          <w:sz w:val="32"/>
          <w:szCs w:val="32"/>
        </w:rPr>
        <w:t>思想政治教育课程教学能力</w:t>
      </w:r>
      <w:r>
        <w:rPr>
          <w:rFonts w:hint="eastAsia" w:ascii="仿宋_GB2312" w:hAnsi="仿宋_GB2312" w:eastAsia="仿宋_GB2312" w:cs="仿宋_GB2312"/>
          <w:color w:val="000000"/>
          <w:kern w:val="0"/>
          <w:sz w:val="32"/>
          <w:szCs w:val="32"/>
        </w:rPr>
        <w:t>比赛评分指标》，</w:t>
      </w:r>
      <w:r>
        <w:rPr>
          <w:rFonts w:hint="eastAsia" w:ascii="仿宋_GB2312" w:hAnsi="仿宋" w:eastAsia="仿宋_GB2312"/>
          <w:sz w:val="32"/>
          <w:szCs w:val="32"/>
        </w:rPr>
        <w:t>采取先网络初评后组织决赛的方式进行。网络初评时，专家按照评分指标对参赛作品材料进行评审</w:t>
      </w:r>
      <w:r>
        <w:rPr>
          <w:rFonts w:ascii="仿宋_GB2312" w:hAnsi="仿宋" w:eastAsia="仿宋_GB2312"/>
          <w:sz w:val="32"/>
          <w:szCs w:val="32"/>
        </w:rPr>
        <w:t>，确定入围决赛的作品。</w:t>
      </w:r>
      <w:r>
        <w:rPr>
          <w:rFonts w:hint="eastAsia" w:ascii="仿宋_GB2312" w:hAnsi="仿宋" w:eastAsia="仿宋_GB2312"/>
          <w:sz w:val="32"/>
          <w:szCs w:val="32"/>
        </w:rPr>
        <w:t>决赛时，</w:t>
      </w:r>
      <w:r>
        <w:rPr>
          <w:rFonts w:hint="eastAsia" w:ascii="仿宋_GB2312" w:hAnsi="仿宋_GB2312" w:eastAsia="仿宋_GB2312" w:cs="仿宋_GB2312"/>
          <w:sz w:val="32"/>
          <w:szCs w:val="32"/>
        </w:rPr>
        <w:t>现场决赛分为教学情况介绍、无学生教学展示和答辩3个环节</w:t>
      </w:r>
      <w:r>
        <w:rPr>
          <w:rFonts w:hint="eastAsia" w:ascii="仿宋_GB2312" w:hAnsi="仿宋" w:eastAsia="仿宋_GB2312"/>
          <w:sz w:val="32"/>
          <w:szCs w:val="32"/>
        </w:rPr>
        <w:t>。综合</w:t>
      </w:r>
      <w:r>
        <w:rPr>
          <w:rFonts w:ascii="仿宋_GB2312" w:hAnsi="仿宋" w:eastAsia="仿宋_GB2312"/>
          <w:sz w:val="32"/>
          <w:szCs w:val="32"/>
        </w:rPr>
        <w:t>评审参赛作品材料和教学团队</w:t>
      </w:r>
      <w:r>
        <w:rPr>
          <w:rFonts w:hint="eastAsia" w:ascii="仿宋_GB2312" w:hAnsi="仿宋" w:eastAsia="仿宋_GB2312"/>
          <w:sz w:val="32"/>
          <w:szCs w:val="32"/>
        </w:rPr>
        <w:t>决赛</w:t>
      </w:r>
      <w:r>
        <w:rPr>
          <w:rFonts w:ascii="仿宋_GB2312" w:hAnsi="仿宋" w:eastAsia="仿宋_GB2312"/>
          <w:sz w:val="32"/>
          <w:szCs w:val="32"/>
        </w:rPr>
        <w:t>表现，确定比赛成绩</w:t>
      </w:r>
      <w:r>
        <w:rPr>
          <w:rFonts w:hint="eastAsia" w:ascii="仿宋_GB2312" w:hAnsi="仿宋" w:eastAsia="仿宋_GB2312"/>
          <w:sz w:val="32"/>
          <w:szCs w:val="32"/>
        </w:rPr>
        <w:t>。</w:t>
      </w:r>
      <w:r>
        <w:rPr>
          <w:rFonts w:hint="eastAsia" w:ascii="仿宋_GB2312" w:hAnsi="仿宋_GB2312" w:eastAsia="仿宋_GB2312" w:cs="仿宋_GB2312"/>
          <w:sz w:val="32"/>
          <w:szCs w:val="32"/>
        </w:rPr>
        <w:t>决赛阶段，评审专家根据参赛材料和参赛队现场表现等统筹打分，但网络初评阶段得分不带入决赛。</w:t>
      </w:r>
      <w:r>
        <w:rPr>
          <w:rFonts w:hint="eastAsia" w:ascii="仿宋_GB2312" w:eastAsia="仿宋_GB2312"/>
          <w:sz w:val="32"/>
        </w:rPr>
        <w:t>如因不可抗拒的因素影响，决赛有关安排另行通知。</w:t>
      </w:r>
    </w:p>
    <w:p>
      <w:pPr>
        <w:overflowPunct w:val="0"/>
        <w:spacing w:line="540" w:lineRule="exact"/>
        <w:ind w:firstLine="643" w:firstLineChars="200"/>
        <w:rPr>
          <w:rFonts w:ascii="楷体" w:hAnsi="楷体" w:eastAsia="楷体" w:cs="仿宋"/>
          <w:b/>
          <w:sz w:val="32"/>
          <w:szCs w:val="32"/>
        </w:rPr>
      </w:pPr>
      <w:r>
        <w:rPr>
          <w:rFonts w:hint="eastAsia" w:ascii="楷体" w:hAnsi="楷体" w:eastAsia="楷体" w:cs="仿宋"/>
          <w:b/>
          <w:sz w:val="32"/>
          <w:szCs w:val="32"/>
        </w:rPr>
        <w:t>（三）奖励办法</w:t>
      </w:r>
    </w:p>
    <w:p>
      <w:pPr>
        <w:overflowPunct w:val="0"/>
        <w:spacing w:line="54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比赛设单项奖。单项奖按比赛项目分别设置一、二、三等奖，不超过参赛作品总数的10%、20%、30%。</w:t>
      </w:r>
      <w:r>
        <w:rPr>
          <w:rFonts w:hint="eastAsia" w:ascii="仿宋_GB2312" w:hAnsi="仿宋" w:eastAsia="仿宋_GB2312"/>
          <w:sz w:val="32"/>
          <w:szCs w:val="32"/>
        </w:rPr>
        <w:t>并从各组获奖作品中遴选优秀作品参加2024年福建省职业院校技能大赛</w:t>
      </w:r>
      <w:r>
        <w:rPr>
          <w:rFonts w:hint="eastAsia" w:ascii="仿宋_GB2312" w:hAnsi="仿宋_GB2312" w:eastAsia="仿宋_GB2312" w:cs="仿宋_GB2312"/>
          <w:sz w:val="32"/>
          <w:szCs w:val="32"/>
        </w:rPr>
        <w:t>思想政治教育课程教学能力</w:t>
      </w:r>
      <w:r>
        <w:rPr>
          <w:rFonts w:hint="eastAsia" w:ascii="仿宋_GB2312" w:hAnsi="仿宋" w:eastAsia="仿宋_GB2312"/>
          <w:sz w:val="32"/>
          <w:szCs w:val="32"/>
        </w:rPr>
        <w:t>比赛。</w:t>
      </w:r>
    </w:p>
    <w:p>
      <w:pPr>
        <w:overflowPunct w:val="0"/>
        <w:spacing w:line="540" w:lineRule="exact"/>
        <w:ind w:firstLine="321" w:firstLineChars="100"/>
      </w:pPr>
      <w:r>
        <w:rPr>
          <w:rFonts w:hint="eastAsia" w:ascii="仿宋" w:hAnsi="仿宋" w:eastAsia="仿宋" w:cs="仿宋"/>
          <w:b/>
          <w:bCs/>
          <w:sz w:val="32"/>
          <w:szCs w:val="32"/>
        </w:rPr>
        <w:t>（四）材料报送</w:t>
      </w:r>
    </w:p>
    <w:p>
      <w:pPr>
        <w:overflowPunct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sz w:val="32"/>
          <w:szCs w:val="32"/>
        </w:rPr>
        <w:t>1.</w:t>
      </w:r>
      <w:r>
        <w:rPr>
          <w:rFonts w:hint="eastAsia" w:ascii="仿宋_GB2312" w:hAnsi="仿宋_GB2312" w:eastAsia="仿宋_GB2312" w:cs="仿宋_GB2312"/>
          <w:b/>
          <w:bCs/>
          <w:color w:val="000000" w:themeColor="text1"/>
          <w:sz w:val="32"/>
          <w:szCs w:val="32"/>
          <w14:textFill>
            <w14:solidFill>
              <w14:schemeClr w14:val="tx1"/>
            </w14:solidFill>
          </w14:textFill>
        </w:rPr>
        <w:t>材料报送路径：</w:t>
      </w:r>
      <w:r>
        <w:rPr>
          <w:rFonts w:hint="eastAsia" w:ascii="仿宋_GB2312" w:hAnsi="仿宋_GB2312" w:eastAsia="仿宋_GB2312" w:cs="仿宋_GB2312"/>
          <w:color w:val="000000" w:themeColor="text1"/>
          <w:sz w:val="32"/>
          <w:szCs w:val="32"/>
          <w14:textFill>
            <w14:solidFill>
              <w14:schemeClr w14:val="tx1"/>
            </w14:solidFill>
          </w14:textFill>
        </w:rPr>
        <w:t>为方便作品评审，各校参评老师登录龙岩市教育公共服务平台（www.longyanedu.net）——教师研训——评比活动——2024年龙岩市职业院校技能大赛思想政治教育课程教学能力比赛，进行网上报名、上传相关作品。平台登录账号默认为教师手机号，若不知道或忘记密码，可点击菜单栏“忘记密码”进行重置。如有疑问，可拨打平台咨询电话（0597-2883296），或进入平台服务中心、扫描右上角“微信扫描咨询”咨询客服。（报名操作手册可通过平台服务中心-使用说明书获取。）</w:t>
      </w:r>
    </w:p>
    <w:p>
      <w:pPr>
        <w:overflowPunct w:val="0"/>
        <w:spacing w:line="500" w:lineRule="exact"/>
        <w:ind w:firstLine="640" w:firstLineChars="200"/>
        <w:rPr>
          <w:rFonts w:ascii="仿宋_GB2312" w:hAnsi="仿宋" w:cs="仿宋"/>
          <w:szCs w:val="32"/>
        </w:rPr>
      </w:pPr>
      <w:r>
        <w:rPr>
          <w:rFonts w:hint="eastAsia" w:ascii="仿宋_GB2312" w:hAnsi="仿宋" w:eastAsia="仿宋_GB2312" w:cs="仿宋"/>
          <w:sz w:val="32"/>
          <w:szCs w:val="32"/>
        </w:rPr>
        <w:t>2.各职业院校应指定专人认真填写《</w:t>
      </w:r>
      <w:r>
        <w:rPr>
          <w:rFonts w:hint="eastAsia" w:ascii="仿宋_GB2312" w:hAnsi="仿宋" w:eastAsia="仿宋_GB2312" w:cs="仿宋"/>
          <w:color w:val="000000"/>
          <w:kern w:val="0"/>
          <w:sz w:val="32"/>
          <w:szCs w:val="32"/>
        </w:rPr>
        <w:t>2024年龙岩市职业院校技能大赛</w:t>
      </w:r>
      <w:r>
        <w:rPr>
          <w:rFonts w:hint="eastAsia" w:ascii="仿宋_GB2312" w:hAnsi="仿宋_GB2312" w:eastAsia="仿宋_GB2312" w:cs="仿宋_GB2312"/>
          <w:sz w:val="32"/>
          <w:szCs w:val="32"/>
        </w:rPr>
        <w:t>思想政治教育课程教学能力</w:t>
      </w:r>
      <w:r>
        <w:rPr>
          <w:rFonts w:hint="eastAsia" w:ascii="仿宋_GB2312" w:hAnsi="仿宋" w:eastAsia="仿宋_GB2312" w:cs="仿宋"/>
          <w:color w:val="000000"/>
          <w:kern w:val="0"/>
          <w:sz w:val="32"/>
          <w:szCs w:val="32"/>
        </w:rPr>
        <w:t>比赛</w:t>
      </w:r>
      <w:r>
        <w:rPr>
          <w:rFonts w:hint="eastAsia" w:ascii="仿宋_GB2312" w:hAnsi="仿宋" w:eastAsia="仿宋_GB2312" w:cs="仿宋"/>
          <w:sz w:val="32"/>
          <w:szCs w:val="32"/>
        </w:rPr>
        <w:t>参赛报名表》（附件1）、《</w:t>
      </w:r>
      <w:r>
        <w:rPr>
          <w:rFonts w:hint="eastAsia" w:ascii="仿宋_GB2312" w:hAnsi="仿宋" w:eastAsia="仿宋_GB2312" w:cs="仿宋"/>
          <w:color w:val="000000"/>
          <w:kern w:val="0"/>
          <w:sz w:val="32"/>
          <w:szCs w:val="32"/>
        </w:rPr>
        <w:t>2024年龙岩市职业院校技能大赛</w:t>
      </w:r>
      <w:r>
        <w:rPr>
          <w:rFonts w:hint="eastAsia" w:ascii="仿宋_GB2312" w:hAnsi="仿宋_GB2312" w:eastAsia="仿宋_GB2312" w:cs="仿宋_GB2312"/>
          <w:sz w:val="32"/>
          <w:szCs w:val="32"/>
        </w:rPr>
        <w:t>思想政治教育课程教学能力</w:t>
      </w:r>
      <w:r>
        <w:rPr>
          <w:rFonts w:hint="eastAsia" w:ascii="仿宋_GB2312" w:hAnsi="仿宋" w:eastAsia="仿宋_GB2312" w:cs="仿宋"/>
          <w:color w:val="000000"/>
          <w:kern w:val="0"/>
          <w:sz w:val="32"/>
          <w:szCs w:val="32"/>
        </w:rPr>
        <w:t>比赛</w:t>
      </w:r>
      <w:r>
        <w:rPr>
          <w:rFonts w:hint="eastAsia" w:ascii="仿宋_GB2312" w:hAnsi="仿宋" w:eastAsia="仿宋_GB2312" w:cs="仿宋"/>
          <w:sz w:val="32"/>
          <w:szCs w:val="32"/>
        </w:rPr>
        <w:t>参赛汇总表》（附件2），加盖公章后于</w:t>
      </w:r>
      <w:r>
        <w:rPr>
          <w:rFonts w:hint="eastAsia" w:ascii="仿宋_GB2312" w:hAnsi="仿宋" w:eastAsia="仿宋_GB2312" w:cs="仿宋"/>
          <w:b/>
          <w:sz w:val="32"/>
          <w:szCs w:val="32"/>
        </w:rPr>
        <w:t>2024年4月</w:t>
      </w:r>
      <w:r>
        <w:rPr>
          <w:rFonts w:hint="eastAsia" w:ascii="仿宋_GB2312" w:hAnsi="仿宋" w:eastAsia="仿宋_GB2312" w:cs="仿宋"/>
          <w:b/>
          <w:sz w:val="32"/>
          <w:szCs w:val="32"/>
          <w:lang w:val="en-US" w:eastAsia="zh-CN"/>
        </w:rPr>
        <w:t>18</w:t>
      </w:r>
      <w:r>
        <w:rPr>
          <w:rFonts w:hint="eastAsia" w:ascii="仿宋_GB2312" w:hAnsi="仿宋" w:eastAsia="仿宋_GB2312" w:cs="仿宋"/>
          <w:b/>
          <w:sz w:val="32"/>
          <w:szCs w:val="32"/>
        </w:rPr>
        <w:t>日</w:t>
      </w:r>
      <w:r>
        <w:rPr>
          <w:rFonts w:hint="eastAsia" w:ascii="仿宋_GB2312" w:hAnsi="仿宋" w:eastAsia="仿宋_GB2312" w:cs="仿宋"/>
          <w:sz w:val="32"/>
          <w:szCs w:val="32"/>
        </w:rPr>
        <w:t>前将材料电子版Word版和盖章扫描版发送到lyedu@126.com邮箱，纸质版寄送至龙岩市职教中心。</w:t>
      </w:r>
    </w:p>
    <w:p>
      <w:pPr>
        <w:overflowPunct w:val="0"/>
        <w:spacing w:line="540" w:lineRule="exact"/>
        <w:ind w:firstLine="640" w:firstLineChars="200"/>
        <w:outlineLvl w:val="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各参赛代表队于2024年4月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日完成参赛材料提交工作（www.longyanedu.net）</w:t>
      </w:r>
      <w:r>
        <w:rPr>
          <w:rFonts w:hint="eastAsia" w:ascii="仿宋_GB2312" w:hAnsi="仿宋_GB2312" w:eastAsia="仿宋_GB2312" w:cs="仿宋_GB2312"/>
          <w:sz w:val="32"/>
          <w:szCs w:val="32"/>
          <w:lang w:eastAsia="zh-CN"/>
        </w:rPr>
        <w:t>。经市级决赛</w:t>
      </w:r>
      <w:r>
        <w:rPr>
          <w:rFonts w:hint="eastAsia" w:ascii="仿宋_GB2312" w:hAnsi="仿宋_GB2312" w:eastAsia="仿宋_GB2312" w:cs="仿宋_GB2312"/>
          <w:sz w:val="32"/>
          <w:szCs w:val="32"/>
        </w:rPr>
        <w:t>被推荐参加省级评选活动的作品，待市里通知激活用户名和密码后，由作者登录网址</w:t>
      </w:r>
      <w:r>
        <w:rPr>
          <w:rFonts w:hint="eastAsia" w:ascii="仿宋_GB2312" w:hAnsi="仿宋_GB2312" w:eastAsia="仿宋_GB2312" w:cs="仿宋_GB2312"/>
          <w:sz w:val="32"/>
          <w:szCs w:val="32"/>
          <w:lang w:val="en-US" w:eastAsia="zh-CN"/>
        </w:rPr>
        <w:t>网址：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"http://www.fj.smartedu.cn/）中\“福建职业教育智慧教育平台-职业院校技能大赛\”专栏按要求完成网上报名工作。用户名、初始密码加入联络群后咨询工作人员。6月10日前，各代表"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http://www.fj.smartedu.cn/）中“福建职业教育智慧教育平台-职业院校技能大赛”专栏按要求完成网上报名和作品上传工作。用户名、初始密码加入联络群后咨询工作人员。</w:t>
      </w:r>
      <w:r>
        <w:rPr>
          <w:rFonts w:hint="eastAsia" w:ascii="仿宋_GB2312" w:hAnsi="仿宋_GB2312" w:eastAsia="仿宋_GB2312" w:cs="仿宋_GB2312"/>
          <w:sz w:val="32"/>
          <w:szCs w:val="32"/>
          <w:lang w:val="en-US" w:eastAsia="zh-CN"/>
        </w:rPr>
        <w:fldChar w:fldCharType="end"/>
      </w:r>
    </w:p>
    <w:p>
      <w:pPr>
        <w:overflowPunct w:val="0"/>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三、其他要求</w:t>
      </w:r>
    </w:p>
    <w:p>
      <w:pPr>
        <w:overflowPunct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1.</w:t>
      </w:r>
      <w:r>
        <w:rPr>
          <w:rFonts w:hint="eastAsia" w:ascii="仿宋_GB2312" w:hAnsi="仿宋" w:eastAsia="仿宋_GB2312"/>
          <w:sz w:val="32"/>
          <w:szCs w:val="32"/>
        </w:rPr>
        <w:t>本次全市比赛由市职教中心主办，</w:t>
      </w:r>
      <w:bookmarkStart w:id="1" w:name="_Hlk36506840"/>
      <w:r>
        <w:rPr>
          <w:rFonts w:hint="eastAsia" w:ascii="仿宋_GB2312" w:hAnsi="仿宋" w:eastAsia="仿宋_GB2312"/>
          <w:sz w:val="32"/>
          <w:szCs w:val="32"/>
        </w:rPr>
        <w:t>龙岩华侨职业中专学校承办。</w:t>
      </w:r>
    </w:p>
    <w:p>
      <w:pPr>
        <w:overflowPunct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2．除附件1、2之外，所有参赛材料（含文件名及其属性）和决赛现场的介绍、展示、答辩，均不得泄露地区、学校名称。故意透露相关信息的，取消其参赛资格</w:t>
      </w:r>
    </w:p>
    <w:p>
      <w:pPr>
        <w:overflowPunct w:val="0"/>
        <w:spacing w:line="540" w:lineRule="exact"/>
        <w:ind w:firstLine="640" w:firstLineChars="200"/>
        <w:rPr>
          <w:rFonts w:ascii="仿宋_GB2312" w:hAnsi="仿宋" w:eastAsia="仿宋_GB2312" w:cs="仿宋"/>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cs="仿宋"/>
          <w:sz w:val="32"/>
          <w:szCs w:val="32"/>
        </w:rPr>
        <w:t>各职业院校应认真做好审核工作</w:t>
      </w:r>
      <w:bookmarkEnd w:id="1"/>
      <w:r>
        <w:rPr>
          <w:rFonts w:hint="eastAsia" w:ascii="仿宋_GB2312" w:hAnsi="仿宋" w:eastAsia="仿宋_GB2312" w:cs="仿宋"/>
          <w:sz w:val="32"/>
          <w:szCs w:val="32"/>
        </w:rPr>
        <w:t>，核对专业备案、人才培养方案网上公示、课程开设、授课班级人数、教学团队成员身份、实际授课、省级比赛遴选等情况，并附相关佐证材料；同时，认真检查参赛作品材料是否泄露信息。参赛作品及教学团队成员的真实性、准确性等方面出现的问题，由所在代表队负责核查、反馈。</w:t>
      </w:r>
    </w:p>
    <w:p>
      <w:pPr>
        <w:overflowPunct w:val="0"/>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3.决赛时间拟定于5月</w:t>
      </w:r>
      <w:r>
        <w:rPr>
          <w:rFonts w:hint="eastAsia" w:ascii="仿宋_GB2312" w:hAnsi="仿宋" w:eastAsia="仿宋_GB2312" w:cs="仿宋"/>
          <w:sz w:val="32"/>
          <w:szCs w:val="32"/>
          <w:lang w:val="en-US" w:eastAsia="zh-CN"/>
        </w:rPr>
        <w:t>12</w:t>
      </w:r>
      <w:r>
        <w:rPr>
          <w:rFonts w:hint="eastAsia" w:ascii="仿宋_GB2312" w:hAnsi="仿宋" w:eastAsia="仿宋_GB2312" w:cs="仿宋"/>
          <w:sz w:val="32"/>
          <w:szCs w:val="32"/>
        </w:rPr>
        <w:t>日</w:t>
      </w:r>
      <w:r>
        <w:rPr>
          <w:rFonts w:hint="eastAsia" w:ascii="仿宋_GB2312" w:hAnsi="仿宋" w:eastAsia="仿宋_GB2312" w:cs="仿宋"/>
          <w:sz w:val="32"/>
          <w:szCs w:val="32"/>
          <w:lang w:eastAsia="zh-CN"/>
        </w:rPr>
        <w:t>（星期日）</w:t>
      </w:r>
      <w:r>
        <w:rPr>
          <w:rFonts w:hint="eastAsia" w:ascii="仿宋_GB2312" w:hAnsi="仿宋" w:eastAsia="仿宋_GB2312" w:cs="仿宋"/>
          <w:sz w:val="32"/>
          <w:szCs w:val="32"/>
        </w:rPr>
        <w:t>，承办单位龙岩华侨职业中专学校要制定比赛方案，确保赛事安全顺利进行。</w:t>
      </w:r>
    </w:p>
    <w:p>
      <w:pPr>
        <w:overflowPunct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4.市职教中心联系人：陈丽华、吴晓磊，联系电话：2319619，传真：2321606，电子邮件：lyedu@126.com。邮寄地址：364000，龙岩市新罗区和平路25号，龙岩市教育局办公大楼1105室，龙岩市职教中心。</w:t>
      </w:r>
    </w:p>
    <w:p>
      <w:pPr>
        <w:adjustRightInd w:val="0"/>
        <w:snapToGrid w:val="0"/>
        <w:spacing w:line="540" w:lineRule="exact"/>
        <w:rPr>
          <w:rFonts w:ascii="仿宋_GB2312" w:hAnsi="仿宋" w:eastAsia="仿宋_GB2312" w:cs="仿宋"/>
          <w:sz w:val="32"/>
          <w:szCs w:val="32"/>
        </w:rPr>
      </w:pPr>
    </w:p>
    <w:p>
      <w:pPr>
        <w:adjustRightInd w:val="0"/>
        <w:snapToGrid w:val="0"/>
        <w:spacing w:line="540" w:lineRule="exact"/>
        <w:ind w:left="1918" w:leftChars="304" w:hanging="1280" w:hangingChars="400"/>
        <w:rPr>
          <w:rFonts w:ascii="仿宋_GB2312" w:hAnsi="仿宋" w:eastAsia="仿宋_GB2312"/>
          <w:sz w:val="32"/>
          <w:szCs w:val="32"/>
        </w:rPr>
      </w:pPr>
      <w:r>
        <w:rPr>
          <w:rFonts w:hint="eastAsia" w:ascii="仿宋_GB2312" w:hAnsi="仿宋" w:eastAsia="仿宋_GB2312" w:cs="仿宋"/>
          <w:sz w:val="32"/>
          <w:szCs w:val="32"/>
        </w:rPr>
        <w:t>附件：</w:t>
      </w:r>
      <w:r>
        <w:rPr>
          <w:rFonts w:hint="eastAsia" w:ascii="仿宋_GB2312" w:hAnsi="仿宋" w:eastAsia="仿宋_GB2312"/>
          <w:sz w:val="32"/>
          <w:szCs w:val="32"/>
        </w:rPr>
        <w:t>1.</w:t>
      </w:r>
      <w:r>
        <w:rPr>
          <w:rFonts w:hint="eastAsia" w:ascii="仿宋_GB2312" w:hAnsi="仿宋" w:eastAsia="仿宋_GB2312" w:cs="仿宋"/>
          <w:color w:val="000000"/>
          <w:kern w:val="0"/>
          <w:sz w:val="32"/>
          <w:szCs w:val="32"/>
        </w:rPr>
        <w:t>2024年龙岩市职业院校技能大赛</w:t>
      </w:r>
      <w:r>
        <w:rPr>
          <w:rFonts w:hint="eastAsia" w:ascii="仿宋_GB2312" w:hAnsi="仿宋_GB2312" w:eastAsia="仿宋_GB2312" w:cs="仿宋_GB2312"/>
          <w:sz w:val="32"/>
          <w:szCs w:val="32"/>
        </w:rPr>
        <w:t>思想政治教育课程教学能力</w:t>
      </w:r>
      <w:r>
        <w:rPr>
          <w:rFonts w:hint="eastAsia" w:ascii="仿宋_GB2312" w:hAnsi="仿宋" w:eastAsia="仿宋_GB2312" w:cs="仿宋"/>
          <w:color w:val="000000"/>
          <w:kern w:val="0"/>
          <w:sz w:val="32"/>
          <w:szCs w:val="32"/>
        </w:rPr>
        <w:t>比赛</w:t>
      </w:r>
      <w:r>
        <w:rPr>
          <w:rFonts w:hint="eastAsia" w:ascii="仿宋_GB2312" w:hAnsi="仿宋" w:eastAsia="仿宋_GB2312" w:cs="仿宋"/>
          <w:sz w:val="32"/>
          <w:szCs w:val="32"/>
        </w:rPr>
        <w:t>参赛报名表</w:t>
      </w:r>
    </w:p>
    <w:p>
      <w:pPr>
        <w:adjustRightInd w:val="0"/>
        <w:snapToGrid w:val="0"/>
        <w:spacing w:line="540" w:lineRule="exact"/>
        <w:ind w:left="1916" w:leftChars="760" w:hanging="320" w:hangingChars="1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cs="仿宋"/>
          <w:color w:val="000000"/>
          <w:kern w:val="0"/>
          <w:sz w:val="32"/>
          <w:szCs w:val="32"/>
        </w:rPr>
        <w:t>2024年龙岩市职业院校技能大赛</w:t>
      </w:r>
      <w:r>
        <w:rPr>
          <w:rFonts w:hint="eastAsia" w:ascii="仿宋_GB2312" w:hAnsi="仿宋_GB2312" w:eastAsia="仿宋_GB2312" w:cs="仿宋_GB2312"/>
          <w:sz w:val="32"/>
          <w:szCs w:val="32"/>
        </w:rPr>
        <w:t>思想政治教育课程教学能力</w:t>
      </w:r>
      <w:r>
        <w:rPr>
          <w:rFonts w:hint="eastAsia" w:ascii="仿宋_GB2312" w:hAnsi="仿宋" w:eastAsia="仿宋_GB2312" w:cs="仿宋"/>
          <w:color w:val="000000"/>
          <w:kern w:val="0"/>
          <w:sz w:val="32"/>
          <w:szCs w:val="32"/>
        </w:rPr>
        <w:t>比赛</w:t>
      </w:r>
      <w:r>
        <w:rPr>
          <w:rFonts w:hint="eastAsia" w:ascii="仿宋_GB2312" w:hAnsi="仿宋" w:eastAsia="仿宋_GB2312" w:cs="仿宋"/>
          <w:sz w:val="32"/>
          <w:szCs w:val="32"/>
        </w:rPr>
        <w:t>参赛汇总表</w:t>
      </w:r>
    </w:p>
    <w:p>
      <w:pPr>
        <w:adjustRightInd w:val="0"/>
        <w:snapToGrid w:val="0"/>
        <w:spacing w:line="540" w:lineRule="exact"/>
        <w:ind w:left="1916" w:leftChars="760" w:hanging="320" w:hangingChars="100"/>
        <w:rPr>
          <w:rFonts w:ascii="仿宋_GB2312" w:hAnsi="仿宋" w:eastAsia="仿宋_GB2312"/>
          <w:sz w:val="32"/>
          <w:szCs w:val="32"/>
        </w:rPr>
      </w:pPr>
      <w:r>
        <w:rPr>
          <w:rFonts w:hint="eastAsia" w:ascii="仿宋_GB2312" w:hAnsi="仿宋" w:eastAsia="仿宋_GB2312" w:cs="仿宋"/>
          <w:sz w:val="32"/>
          <w:szCs w:val="32"/>
        </w:rPr>
        <w:t>3.福建省教育厅关于举办2024年福建省职业院校技能大赛</w:t>
      </w:r>
      <w:r>
        <w:rPr>
          <w:rFonts w:hint="eastAsia" w:ascii="仿宋_GB2312" w:hAnsi="仿宋_GB2312" w:eastAsia="仿宋_GB2312" w:cs="仿宋_GB2312"/>
          <w:sz w:val="32"/>
          <w:szCs w:val="32"/>
        </w:rPr>
        <w:t>思想政治教育课程教学能力</w:t>
      </w:r>
      <w:r>
        <w:rPr>
          <w:rFonts w:hint="eastAsia" w:ascii="仿宋_GB2312" w:hAnsi="仿宋" w:eastAsia="仿宋_GB2312" w:cs="仿宋"/>
          <w:sz w:val="32"/>
          <w:szCs w:val="32"/>
        </w:rPr>
        <w:t>比赛的通知</w:t>
      </w:r>
    </w:p>
    <w:p>
      <w:pPr>
        <w:pStyle w:val="2"/>
        <w:spacing w:before="0" w:after="0" w:line="540" w:lineRule="exact"/>
        <w:rPr>
          <w:rFonts w:ascii="仿宋_GB2312" w:hAnsi="仿宋" w:eastAsia="仿宋_GB2312"/>
        </w:rPr>
      </w:pPr>
    </w:p>
    <w:p>
      <w:pPr>
        <w:pStyle w:val="2"/>
      </w:pPr>
    </w:p>
    <w:p>
      <w:pPr>
        <w:overflowPunct w:val="0"/>
        <w:spacing w:line="540" w:lineRule="exact"/>
        <w:ind w:firstLine="5120" w:firstLineChars="1600"/>
        <w:rPr>
          <w:rFonts w:ascii="仿宋_GB2312" w:hAnsi="仿宋" w:eastAsia="仿宋_GB2312" w:cs="仿宋"/>
          <w:sz w:val="32"/>
          <w:szCs w:val="32"/>
        </w:rPr>
      </w:pPr>
      <w:r>
        <w:rPr>
          <w:rFonts w:hint="eastAsia" w:ascii="仿宋_GB2312" w:hAnsi="仿宋" w:eastAsia="仿宋_GB2312" w:cs="仿宋"/>
          <w:sz w:val="32"/>
          <w:szCs w:val="32"/>
        </w:rPr>
        <w:t>龙岩市教育局办公室</w:t>
      </w:r>
    </w:p>
    <w:p>
      <w:pPr>
        <w:overflowPunct w:val="0"/>
        <w:spacing w:line="54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 xml:space="preserve">          　                2024年</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15</w:t>
      </w:r>
      <w:r>
        <w:rPr>
          <w:rFonts w:hint="eastAsia" w:ascii="仿宋_GB2312" w:hAnsi="仿宋" w:eastAsia="仿宋_GB2312" w:cs="仿宋"/>
          <w:sz w:val="32"/>
          <w:szCs w:val="32"/>
        </w:rPr>
        <w:t>日</w:t>
      </w:r>
    </w:p>
    <w:p>
      <w:pPr>
        <w:spacing w:line="540" w:lineRule="exact"/>
        <w:sectPr>
          <w:headerReference r:id="rId6" w:type="first"/>
          <w:footerReference r:id="rId9" w:type="first"/>
          <w:headerReference r:id="rId5" w:type="default"/>
          <w:footerReference r:id="rId7" w:type="default"/>
          <w:footerReference r:id="rId8" w:type="even"/>
          <w:pgSz w:w="11906" w:h="16838"/>
          <w:pgMar w:top="1440" w:right="1587" w:bottom="1440" w:left="1644" w:header="851" w:footer="992" w:gutter="0"/>
          <w:pgNumType w:fmt="numberInDash"/>
          <w:cols w:space="720" w:num="1"/>
          <w:titlePg/>
          <w:docGrid w:type="lines" w:linePitch="312" w:charSpace="0"/>
        </w:sectPr>
      </w:pPr>
      <w:bookmarkStart w:id="2" w:name="_Hlk27422497"/>
      <w:bookmarkEnd w:id="2"/>
    </w:p>
    <w:p>
      <w:pPr>
        <w:adjustRightInd w:val="0"/>
        <w:snapToGrid w:val="0"/>
        <w:spacing w:line="540" w:lineRule="exact"/>
        <w:rPr>
          <w:rFonts w:hint="eastAsia" w:ascii="黑体" w:hAnsi="黑体" w:eastAsia="黑体" w:cs="黑体"/>
          <w:spacing w:val="-4"/>
          <w:sz w:val="32"/>
          <w:szCs w:val="32"/>
        </w:rPr>
      </w:pPr>
      <w:r>
        <w:rPr>
          <w:rFonts w:hint="eastAsia" w:ascii="黑体" w:hAnsi="黑体" w:eastAsia="黑体" w:cs="黑体"/>
          <w:spacing w:val="-4"/>
          <w:sz w:val="32"/>
          <w:szCs w:val="32"/>
        </w:rPr>
        <w:t>附件1</w:t>
      </w:r>
    </w:p>
    <w:p>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参赛报名表</w:t>
      </w:r>
    </w:p>
    <w:p>
      <w:pPr>
        <w:overflowPunct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参赛教学内容基本信息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4"/>
        <w:gridCol w:w="2358"/>
        <w:gridCol w:w="190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004"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报名组别</w:t>
            </w:r>
          </w:p>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（课程模块名称）</w:t>
            </w:r>
          </w:p>
        </w:tc>
        <w:tc>
          <w:tcPr>
            <w:tcW w:w="605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□中国特色社会主义  □心理健康与职业生涯</w:t>
            </w:r>
          </w:p>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□哲学与人生    □职业道德与法治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004"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教学内容</w:t>
            </w:r>
          </w:p>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（教学任务精确表述）</w:t>
            </w:r>
          </w:p>
        </w:tc>
        <w:tc>
          <w:tcPr>
            <w:tcW w:w="605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4"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参赛学时</w:t>
            </w:r>
          </w:p>
        </w:tc>
        <w:tc>
          <w:tcPr>
            <w:tcW w:w="2358"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c>
          <w:tcPr>
            <w:tcW w:w="1909"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授课班级人数</w:t>
            </w:r>
          </w:p>
        </w:tc>
        <w:tc>
          <w:tcPr>
            <w:tcW w:w="1789"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4"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授课班级学制</w:t>
            </w:r>
          </w:p>
        </w:tc>
        <w:tc>
          <w:tcPr>
            <w:tcW w:w="605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□三年制中职 □五年制高职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004"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授课班级所属</w:t>
            </w:r>
            <w:r>
              <w:rPr>
                <w:rFonts w:hint="eastAsia" w:ascii="仿宋_GB2312" w:hAnsi="仿宋_GB2312" w:eastAsia="仿宋_GB2312" w:cs="仿宋_GB2312"/>
                <w:sz w:val="28"/>
                <w:szCs w:val="28"/>
                <w:vertAlign w:val="superscript"/>
              </w:rPr>
              <w:footnoteReference w:id="0"/>
            </w:r>
          </w:p>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专业名称</w:t>
            </w:r>
          </w:p>
        </w:tc>
        <w:tc>
          <w:tcPr>
            <w:tcW w:w="2358"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c>
          <w:tcPr>
            <w:tcW w:w="1909"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专业代码</w:t>
            </w:r>
          </w:p>
        </w:tc>
        <w:tc>
          <w:tcPr>
            <w:tcW w:w="1789" w:type="dxa"/>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r>
    </w:tbl>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参赛教师基本信息</w:t>
      </w:r>
      <w:r>
        <w:rPr>
          <w:rFonts w:hint="eastAsia" w:ascii="仿宋_GB2312" w:hAnsi="仿宋_GB2312" w:eastAsia="仿宋_GB2312" w:cs="仿宋_GB2312"/>
          <w:sz w:val="32"/>
          <w:szCs w:val="32"/>
          <w:vertAlign w:val="superscript"/>
        </w:rPr>
        <w:footnoteReference w:id="1"/>
      </w:r>
    </w:p>
    <w:tbl>
      <w:tblPr>
        <w:tblStyle w:val="9"/>
        <w:tblW w:w="9050" w:type="dxa"/>
        <w:jc w:val="center"/>
        <w:tblLayout w:type="fixed"/>
        <w:tblCellMar>
          <w:top w:w="0" w:type="dxa"/>
          <w:left w:w="108" w:type="dxa"/>
          <w:bottom w:w="0" w:type="dxa"/>
          <w:right w:w="108" w:type="dxa"/>
        </w:tblCellMar>
      </w:tblPr>
      <w:tblGrid>
        <w:gridCol w:w="851"/>
        <w:gridCol w:w="850"/>
        <w:gridCol w:w="988"/>
        <w:gridCol w:w="1016"/>
        <w:gridCol w:w="1110"/>
        <w:gridCol w:w="924"/>
        <w:gridCol w:w="687"/>
        <w:gridCol w:w="329"/>
        <w:gridCol w:w="1017"/>
        <w:gridCol w:w="1278"/>
      </w:tblGrid>
      <w:tr>
        <w:tblPrEx>
          <w:tblCellMar>
            <w:top w:w="0" w:type="dxa"/>
            <w:left w:w="108" w:type="dxa"/>
            <w:bottom w:w="0" w:type="dxa"/>
            <w:right w:w="108" w:type="dxa"/>
          </w:tblCellMar>
        </w:tblPrEx>
        <w:trPr>
          <w:jc w:val="center"/>
        </w:trPr>
        <w:tc>
          <w:tcPr>
            <w:tcW w:w="26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学校全称</w:t>
            </w:r>
          </w:p>
        </w:tc>
        <w:tc>
          <w:tcPr>
            <w:tcW w:w="636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8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0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教龄</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bookmarkStart w:id="3" w:name="_Hlk27431713"/>
            <w:r>
              <w:rPr>
                <w:rFonts w:hint="eastAsia" w:ascii="仿宋_GB2312" w:hAnsi="仿宋_GB2312" w:eastAsia="仿宋_GB2312" w:cs="仿宋_GB2312"/>
                <w:sz w:val="28"/>
                <w:szCs w:val="28"/>
              </w:rPr>
              <w:t>政治面貌</w:t>
            </w:r>
          </w:p>
        </w:tc>
        <w:tc>
          <w:tcPr>
            <w:tcW w:w="311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专业背景</w:t>
            </w:r>
          </w:p>
        </w:tc>
        <w:tc>
          <w:tcPr>
            <w:tcW w:w="26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r>
      <w:tr>
        <w:trPr>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311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6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p>
        </w:tc>
      </w:tr>
      <w:bookmarkEnd w:id="3"/>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819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□普通教师 □教研室（组）负责人</w:t>
            </w:r>
          </w:p>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□系部（分院）负责人 □职能部门负责人 □校领导</w:t>
            </w:r>
          </w:p>
        </w:tc>
      </w:tr>
    </w:tbl>
    <w:p>
      <w:pPr>
        <w:keepNext w:val="0"/>
        <w:keepLines w:val="0"/>
        <w:pageBreakBefore w:val="0"/>
        <w:widowControl w:val="0"/>
        <w:kinsoku/>
        <w:wordWrap/>
        <w:overflowPunct w:val="0"/>
        <w:topLinePunct w:val="0"/>
        <w:autoSpaceDE/>
        <w:autoSpaceDN/>
        <w:bidi w:val="0"/>
        <w:adjustRightInd/>
        <w:snapToGrid w:val="0"/>
        <w:spacing w:line="500" w:lineRule="exact"/>
        <w:jc w:val="center"/>
        <w:textAlignment w:val="auto"/>
        <w:rPr>
          <w:rFonts w:ascii="仿宋_GB2312" w:hAnsi="仿宋_GB2312" w:eastAsia="仿宋_GB2312" w:cs="仿宋_GB2312"/>
          <w:sz w:val="28"/>
          <w:szCs w:val="28"/>
        </w:rPr>
        <w:sectPr>
          <w:footerReference r:id="rId10" w:type="default"/>
          <w:pgSz w:w="11906" w:h="16838"/>
          <w:pgMar w:top="1417" w:right="1304" w:bottom="1304" w:left="1587" w:header="851" w:footer="992" w:gutter="0"/>
          <w:cols w:space="720" w:num="1"/>
          <w:docGrid w:type="lines" w:linePitch="312" w:charSpace="0"/>
        </w:sectPr>
      </w:pPr>
    </w:p>
    <w:tbl>
      <w:tblPr>
        <w:tblStyle w:val="9"/>
        <w:tblW w:w="9050" w:type="dxa"/>
        <w:jc w:val="center"/>
        <w:tblLayout w:type="fixed"/>
        <w:tblCellMar>
          <w:top w:w="0" w:type="dxa"/>
          <w:left w:w="108" w:type="dxa"/>
          <w:bottom w:w="0" w:type="dxa"/>
          <w:right w:w="108" w:type="dxa"/>
        </w:tblCellMar>
      </w:tblPr>
      <w:tblGrid>
        <w:gridCol w:w="851"/>
        <w:gridCol w:w="1477"/>
        <w:gridCol w:w="2125"/>
        <w:gridCol w:w="2210"/>
        <w:gridCol w:w="2387"/>
      </w:tblGrid>
      <w:tr>
        <w:tblPrEx>
          <w:tblCellMar>
            <w:top w:w="0" w:type="dxa"/>
            <w:left w:w="108" w:type="dxa"/>
            <w:bottom w:w="0" w:type="dxa"/>
            <w:right w:w="108" w:type="dxa"/>
          </w:tblCellMar>
        </w:tblPrEx>
        <w:trPr>
          <w:trHeight w:val="50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58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□未定级 □初级 □中级 □副高 □正高</w:t>
            </w:r>
          </w:p>
        </w:tc>
        <w:tc>
          <w:tcPr>
            <w:tcW w:w="23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2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1寸照片</w:t>
            </w:r>
          </w:p>
          <w:p>
            <w:pPr>
              <w:keepNext w:val="0"/>
              <w:keepLines w:val="0"/>
              <w:pageBreakBefore w:val="0"/>
              <w:widowControl w:val="0"/>
              <w:kinsoku/>
              <w:wordWrap/>
              <w:overflowPunct w:val="0"/>
              <w:topLinePunct w:val="0"/>
              <w:autoSpaceDE/>
              <w:autoSpaceDN/>
              <w:bidi w:val="0"/>
              <w:adjustRightInd/>
              <w:spacing w:line="2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（可使用电子版）</w:t>
            </w:r>
          </w:p>
        </w:tc>
      </w:tr>
      <w:tr>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58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□大专及以下  □本科  □硕士  □博士</w:t>
            </w:r>
          </w:p>
        </w:tc>
        <w:tc>
          <w:tcPr>
            <w:tcW w:w="23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260" w:lineRule="exact"/>
              <w:jc w:val="center"/>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680" w:hRule="atLeast"/>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校内专兼职情况</w:t>
            </w:r>
          </w:p>
        </w:tc>
        <w:tc>
          <w:tcPr>
            <w:tcW w:w="43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□专职思政课教师  □兼职教师</w:t>
            </w:r>
          </w:p>
        </w:tc>
        <w:tc>
          <w:tcPr>
            <w:tcW w:w="23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260" w:lineRule="exact"/>
              <w:jc w:val="center"/>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680" w:hRule="atLeast"/>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思政课教师年限</w:t>
            </w:r>
          </w:p>
        </w:tc>
        <w:tc>
          <w:tcPr>
            <w:tcW w:w="43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p>
        </w:tc>
        <w:tc>
          <w:tcPr>
            <w:tcW w:w="23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260" w:lineRule="exact"/>
              <w:jc w:val="center"/>
              <w:textAlignment w:val="auto"/>
              <w:rPr>
                <w:rFonts w:ascii="仿宋_GB2312" w:hAnsi="仿宋_GB2312" w:eastAsia="仿宋_GB2312" w:cs="仿宋_GB2312"/>
                <w:sz w:val="28"/>
                <w:szCs w:val="28"/>
              </w:rPr>
            </w:pPr>
          </w:p>
        </w:tc>
      </w:tr>
      <w:tr>
        <w:tblPrEx>
          <w:tblCellMar>
            <w:top w:w="0" w:type="dxa"/>
            <w:left w:w="108" w:type="dxa"/>
            <w:bottom w:w="0" w:type="dxa"/>
            <w:right w:w="108" w:type="dxa"/>
          </w:tblCellMar>
        </w:tblPrEx>
        <w:trPr>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承担的教学任务</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p>
        </w:tc>
        <w:tc>
          <w:tcPr>
            <w:tcW w:w="2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拍摄视频名称</w:t>
            </w:r>
          </w:p>
        </w:tc>
        <w:tc>
          <w:tcPr>
            <w:tcW w:w="2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8"/>
                <w:szCs w:val="28"/>
              </w:rPr>
            </w:pPr>
          </w:p>
        </w:tc>
      </w:tr>
    </w:tbl>
    <w:p>
      <w:pPr>
        <w:keepNext w:val="0"/>
        <w:keepLines w:val="0"/>
        <w:pageBreakBefore w:val="0"/>
        <w:widowControl w:val="0"/>
        <w:kinsoku/>
        <w:wordWrap/>
        <w:overflowPunct w:val="0"/>
        <w:topLinePunct w:val="0"/>
        <w:autoSpaceDE/>
        <w:autoSpaceDN/>
        <w:bidi w:val="0"/>
        <w:adjustRightInd/>
        <w:spacing w:line="2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参赛承诺与说明</w:t>
      </w:r>
      <w:r>
        <w:rPr>
          <w:rFonts w:hint="eastAsia" w:ascii="仿宋_GB2312" w:hAnsi="仿宋_GB2312" w:eastAsia="仿宋_GB2312" w:cs="仿宋_GB2312"/>
          <w:sz w:val="32"/>
          <w:szCs w:val="32"/>
          <w:vertAlign w:val="superscript"/>
        </w:rPr>
        <w:footnoteReference w:id="2"/>
      </w:r>
    </w:p>
    <w:tbl>
      <w:tblPr>
        <w:tblStyle w:val="9"/>
        <w:tblW w:w="9028" w:type="dxa"/>
        <w:jc w:val="center"/>
        <w:tblLayout w:type="fixed"/>
        <w:tblCellMar>
          <w:top w:w="0" w:type="dxa"/>
          <w:left w:w="108" w:type="dxa"/>
          <w:bottom w:w="0" w:type="dxa"/>
          <w:right w:w="108" w:type="dxa"/>
        </w:tblCellMar>
      </w:tblPr>
      <w:tblGrid>
        <w:gridCol w:w="3114"/>
        <w:gridCol w:w="274"/>
        <w:gridCol w:w="1006"/>
        <w:gridCol w:w="2850"/>
        <w:gridCol w:w="1784"/>
      </w:tblGrid>
      <w:tr>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本人近 2 年未获得全国职业院校技能大赛思想政治教育课程教学能力比赛一等奖</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否</w:t>
            </w:r>
          </w:p>
        </w:tc>
      </w:tr>
      <w:tr>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本次参赛作品未参加过近 </w:t>
            </w: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年全国职业院校技能大赛思想政治教育课程教学能力比赛</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否</w:t>
            </w:r>
          </w:p>
        </w:tc>
      </w:tr>
      <w:tr>
        <w:tblPrEx>
          <w:tblCellMar>
            <w:top w:w="0" w:type="dxa"/>
            <w:left w:w="108" w:type="dxa"/>
            <w:bottom w:w="0" w:type="dxa"/>
            <w:right w:w="108" w:type="dxa"/>
          </w:tblCellMar>
        </w:tblPrEx>
        <w:trPr>
          <w:trHeight w:val="625"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本次参赛作品未获得过近 </w:t>
            </w: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年福建省职业院校技能大赛思想政治教育课程教学能力比赛一等奖</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否</w:t>
            </w:r>
          </w:p>
        </w:tc>
      </w:tr>
      <w:tr>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以上填报专业备案信息、班级和个人信息均真实无误</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参赛材料没有泄漏地区、学校名称以及教师个人姓名</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保证参赛材料无知识产权异议或其他法律纠纷</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CellMar>
            <w:top w:w="0" w:type="dxa"/>
            <w:left w:w="108" w:type="dxa"/>
            <w:bottom w:w="0" w:type="dxa"/>
            <w:right w:w="108" w:type="dxa"/>
          </w:tblCellMar>
        </w:tblPrEx>
        <w:trPr>
          <w:trHeight w:val="567" w:hRule="atLeast"/>
          <w:jc w:val="center"/>
        </w:trPr>
        <w:tc>
          <w:tcPr>
            <w:tcW w:w="72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同意大赛办拥有对参赛材料进行公益性共享、展示的权利</w:t>
            </w:r>
          </w:p>
        </w:tc>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CellMar>
            <w:top w:w="0" w:type="dxa"/>
            <w:left w:w="108" w:type="dxa"/>
            <w:bottom w:w="0" w:type="dxa"/>
            <w:right w:w="108" w:type="dxa"/>
          </w:tblCellMar>
        </w:tblPrEx>
        <w:trPr>
          <w:trHeight w:val="567" w:hRule="atLeast"/>
          <w:jc w:val="center"/>
        </w:trPr>
        <w:tc>
          <w:tcPr>
            <w:tcW w:w="3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2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参加市（校）级比赛情况</w:t>
            </w:r>
          </w:p>
        </w:tc>
        <w:tc>
          <w:tcPr>
            <w:tcW w:w="56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260" w:lineRule="exact"/>
              <w:jc w:val="center"/>
              <w:textAlignment w:val="auto"/>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567" w:hRule="atLeast"/>
          <w:jc w:val="center"/>
        </w:trPr>
        <w:tc>
          <w:tcPr>
            <w:tcW w:w="902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请确认以下情况是否符合比赛要求并提供佐证材料</w:t>
            </w:r>
          </w:p>
          <w:p>
            <w:pPr>
              <w:keepNext w:val="0"/>
              <w:keepLines w:val="0"/>
              <w:pageBreakBefore w:val="0"/>
              <w:widowControl w:val="0"/>
              <w:kinsoku/>
              <w:wordWrap/>
              <w:overflowPunct w:val="0"/>
              <w:topLinePunct w:val="0"/>
              <w:autoSpaceDE/>
              <w:autoSpaceDN/>
              <w:bidi w:val="0"/>
              <w:adjustRightInd/>
              <w:snapToGrid w:val="0"/>
              <w:spacing w:line="2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（提交电子资料，如班级花名册</w:t>
            </w:r>
            <w:r>
              <w:rPr>
                <w:rFonts w:hint="eastAsia" w:ascii="仿宋_GB2312" w:hAnsi="仿宋_GB2312" w:eastAsia="仿宋_GB2312" w:cs="仿宋_GB2312"/>
                <w:snapToGrid w:val="0"/>
                <w:color w:val="000000"/>
                <w:kern w:val="0"/>
                <w:sz w:val="24"/>
                <w:szCs w:val="24"/>
                <w:lang w:bidi="ar"/>
              </w:rPr>
              <w:t>，需打印盖校章后扫描上传至平台</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□团队成员参与教学  □授课班级全体学生参与拍摄</w:t>
            </w:r>
          </w:p>
        </w:tc>
      </w:tr>
      <w:tr>
        <w:tblPrEx>
          <w:tblCellMar>
            <w:top w:w="0" w:type="dxa"/>
            <w:left w:w="108" w:type="dxa"/>
            <w:bottom w:w="0" w:type="dxa"/>
            <w:right w:w="108" w:type="dxa"/>
          </w:tblCellMar>
        </w:tblPrEx>
        <w:trPr>
          <w:trHeight w:val="680" w:hRule="atLeast"/>
          <w:jc w:val="center"/>
        </w:trPr>
        <w:tc>
          <w:tcPr>
            <w:tcW w:w="3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个人签字</w:t>
            </w:r>
          </w:p>
        </w:tc>
        <w:tc>
          <w:tcPr>
            <w:tcW w:w="59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260" w:lineRule="exact"/>
              <w:textAlignment w:val="auto"/>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2685" w:hRule="atLeast"/>
          <w:jc w:val="center"/>
        </w:trPr>
        <w:tc>
          <w:tcPr>
            <w:tcW w:w="4394"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pacing w:val="-4"/>
                <w:sz w:val="22"/>
              </w:rPr>
            </w:pPr>
            <w:r>
              <w:rPr>
                <w:rFonts w:hint="eastAsia" w:ascii="仿宋_GB2312" w:hAnsi="仿宋_GB2312" w:eastAsia="仿宋_GB2312" w:cs="仿宋_GB2312"/>
                <w:spacing w:val="-4"/>
                <w:sz w:val="22"/>
              </w:rPr>
              <w:t>（所在学校签署意见并盖章）</w:t>
            </w:r>
          </w:p>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pacing w:val="-4"/>
                <w:sz w:val="22"/>
              </w:rPr>
            </w:pPr>
            <w:r>
              <w:rPr>
                <w:rFonts w:hint="eastAsia" w:ascii="仿宋_GB2312" w:hAnsi="仿宋_GB2312" w:eastAsia="仿宋_GB2312" w:cs="仿宋_GB2312"/>
                <w:spacing w:val="-4"/>
                <w:sz w:val="22"/>
              </w:rPr>
              <w:t>日期：</w:t>
            </w:r>
          </w:p>
        </w:tc>
        <w:tc>
          <w:tcPr>
            <w:tcW w:w="463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pacing w:val="-4"/>
                <w:sz w:val="22"/>
              </w:rPr>
            </w:pPr>
            <w:r>
              <w:rPr>
                <w:rFonts w:hint="eastAsia" w:ascii="仿宋_GB2312" w:hAnsi="仿宋_GB2312" w:eastAsia="仿宋_GB2312" w:cs="仿宋_GB2312"/>
                <w:spacing w:val="-4"/>
                <w:sz w:val="22"/>
              </w:rPr>
              <w:t>（非省属中职学校所属教育行政部门处室签署意见并盖章）</w:t>
            </w:r>
          </w:p>
          <w:p>
            <w:pPr>
              <w:keepNext w:val="0"/>
              <w:keepLines w:val="0"/>
              <w:pageBreakBefore w:val="0"/>
              <w:widowControl w:val="0"/>
              <w:kinsoku/>
              <w:wordWrap/>
              <w:overflowPunct w:val="0"/>
              <w:topLinePunct w:val="0"/>
              <w:autoSpaceDE/>
              <w:autoSpaceDN/>
              <w:bidi w:val="0"/>
              <w:adjustRightInd/>
              <w:snapToGrid w:val="0"/>
              <w:spacing w:line="260" w:lineRule="exact"/>
              <w:jc w:val="center"/>
              <w:textAlignment w:val="auto"/>
              <w:rPr>
                <w:rFonts w:ascii="仿宋_GB2312" w:hAnsi="仿宋_GB2312" w:eastAsia="仿宋_GB2312" w:cs="仿宋_GB2312"/>
                <w:spacing w:val="-4"/>
                <w:sz w:val="22"/>
              </w:rPr>
            </w:pPr>
            <w:r>
              <w:rPr>
                <w:rFonts w:hint="eastAsia" w:ascii="仿宋_GB2312" w:hAnsi="仿宋_GB2312" w:eastAsia="仿宋_GB2312" w:cs="仿宋_GB2312"/>
                <w:spacing w:val="-4"/>
                <w:sz w:val="22"/>
              </w:rPr>
              <w:t>日期：</w:t>
            </w:r>
          </w:p>
        </w:tc>
      </w:tr>
    </w:tbl>
    <w:p>
      <w:pPr>
        <w:keepNext w:val="0"/>
        <w:keepLines w:val="0"/>
        <w:pageBreakBefore w:val="0"/>
        <w:widowControl w:val="0"/>
        <w:kinsoku/>
        <w:wordWrap/>
        <w:overflowPunct w:val="0"/>
        <w:topLinePunct w:val="0"/>
        <w:autoSpaceDE/>
        <w:autoSpaceDN/>
        <w:bidi w:val="0"/>
        <w:adjustRightInd/>
        <w:spacing w:line="260" w:lineRule="exact"/>
        <w:textAlignment w:val="auto"/>
        <w:rPr>
          <w:rFonts w:ascii="仿宋_GB2312" w:hAnsi="仿宋_GB2312" w:eastAsia="仿宋_GB2312" w:cs="仿宋_GB2312"/>
          <w:sz w:val="32"/>
          <w:szCs w:val="32"/>
        </w:rPr>
        <w:sectPr>
          <w:footerReference r:id="rId11" w:type="default"/>
          <w:pgSz w:w="11906" w:h="16838"/>
          <w:pgMar w:top="1417" w:right="1304" w:bottom="1304" w:left="1701" w:header="851" w:footer="992" w:gutter="0"/>
          <w:cols w:space="720" w:num="1"/>
          <w:docGrid w:type="lines" w:linePitch="312" w:charSpace="0"/>
        </w:sectPr>
      </w:pPr>
    </w:p>
    <w:p>
      <w:pPr>
        <w:widowControl/>
        <w:shd w:val="clear" w:color="auto" w:fill="FFFFFF"/>
        <w:spacing w:line="276" w:lineRule="auto"/>
        <w:ind w:left="565" w:hanging="626"/>
        <w:jc w:val="left"/>
        <w:rPr>
          <w:rFonts w:hint="eastAsia" w:ascii="黑体" w:hAnsi="黑体" w:eastAsia="黑体" w:cs="黑体"/>
          <w:spacing w:val="-4"/>
          <w:sz w:val="32"/>
          <w:szCs w:val="32"/>
        </w:rPr>
      </w:pPr>
      <w:r>
        <w:rPr>
          <w:rFonts w:hint="eastAsia" w:ascii="黑体" w:hAnsi="黑体" w:eastAsia="黑体" w:cs="黑体"/>
          <w:spacing w:val="-4"/>
          <w:sz w:val="32"/>
          <w:szCs w:val="32"/>
        </w:rPr>
        <w:t>附件2</w:t>
      </w:r>
    </w:p>
    <w:p>
      <w:pPr>
        <w:widowControl/>
        <w:shd w:val="clear" w:color="auto" w:fill="FFFFFF"/>
        <w:spacing w:line="276" w:lineRule="auto"/>
        <w:ind w:left="565" w:hanging="626"/>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参赛情况汇总表</w:t>
      </w:r>
    </w:p>
    <w:p>
      <w:pPr>
        <w:widowControl/>
        <w:overflowPunct w:val="0"/>
        <w:autoSpaceDE w:val="0"/>
        <w:autoSpaceDN w:val="0"/>
        <w:snapToGrid w:val="0"/>
        <w:spacing w:line="560" w:lineRule="exact"/>
        <w:ind w:firstLine="834" w:firstLineChars="200"/>
        <w:rPr>
          <w:rFonts w:ascii="仿宋_GB2312" w:hAnsi="仿宋_GB2312" w:eastAsia="仿宋_GB2312" w:cs="仿宋_GB2312"/>
          <w:snapToGrid w:val="0"/>
          <w:sz w:val="32"/>
          <w:szCs w:val="32"/>
        </w:rPr>
      </w:pPr>
      <w:r>
        <w:rPr>
          <w:rFonts w:hint="eastAsia" w:ascii="仿宋" w:hAnsi="仿宋" w:eastAsia="仿宋"/>
          <w:spacing w:val="-4"/>
          <w:sz w:val="32"/>
          <w:szCs w:val="32"/>
        </w:rPr>
        <w:t xml:space="preserve"> </w:t>
      </w:r>
      <w:r>
        <w:rPr>
          <w:rFonts w:hint="eastAsia" w:ascii="仿宋_GB2312" w:hAnsi="仿宋_GB2312" w:eastAsia="仿宋_GB2312" w:cs="仿宋_GB2312"/>
          <w:snapToGrid w:val="0"/>
          <w:sz w:val="32"/>
          <w:szCs w:val="32"/>
        </w:rPr>
        <w:t>代表队（盖章）：</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157"/>
        <w:gridCol w:w="2604"/>
        <w:gridCol w:w="1587"/>
        <w:gridCol w:w="1077"/>
        <w:gridCol w:w="1587"/>
        <w:gridCol w:w="107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1" w:type="pct"/>
            <w:tcMar>
              <w:left w:w="28" w:type="dxa"/>
              <w:right w:w="28" w:type="dxa"/>
            </w:tcMar>
            <w:vAlign w:val="center"/>
          </w:tcPr>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序号</w:t>
            </w:r>
          </w:p>
        </w:tc>
        <w:tc>
          <w:tcPr>
            <w:tcW w:w="842" w:type="pct"/>
            <w:tcMar>
              <w:left w:w="28" w:type="dxa"/>
              <w:right w:w="28" w:type="dxa"/>
            </w:tcMar>
            <w:vAlign w:val="center"/>
          </w:tcPr>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报名组别</w:t>
            </w:r>
          </w:p>
        </w:tc>
        <w:tc>
          <w:tcPr>
            <w:tcW w:w="1016" w:type="pct"/>
            <w:tcMar>
              <w:left w:w="28" w:type="dxa"/>
              <w:right w:w="28" w:type="dxa"/>
            </w:tcMar>
            <w:vAlign w:val="center"/>
          </w:tcPr>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参赛教学内容</w:t>
            </w:r>
          </w:p>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（教学任务精确表述）</w:t>
            </w:r>
          </w:p>
        </w:tc>
        <w:tc>
          <w:tcPr>
            <w:tcW w:w="619" w:type="pct"/>
            <w:tcMar>
              <w:left w:w="28" w:type="dxa"/>
              <w:right w:w="28" w:type="dxa"/>
            </w:tcMar>
            <w:vAlign w:val="center"/>
          </w:tcPr>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学校名称</w:t>
            </w:r>
          </w:p>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（规范全称）</w:t>
            </w:r>
          </w:p>
        </w:tc>
        <w:tc>
          <w:tcPr>
            <w:tcW w:w="420" w:type="pct"/>
            <w:tcMar>
              <w:left w:w="28" w:type="dxa"/>
              <w:right w:w="28" w:type="dxa"/>
            </w:tcMar>
            <w:vAlign w:val="center"/>
          </w:tcPr>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授课班级</w:t>
            </w:r>
          </w:p>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学制</w:t>
            </w:r>
          </w:p>
        </w:tc>
        <w:tc>
          <w:tcPr>
            <w:tcW w:w="619" w:type="pct"/>
            <w:tcMar>
              <w:left w:w="28" w:type="dxa"/>
              <w:right w:w="28" w:type="dxa"/>
            </w:tcMar>
            <w:vAlign w:val="center"/>
          </w:tcPr>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授课班级</w:t>
            </w:r>
          </w:p>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所属专业名称</w:t>
            </w:r>
          </w:p>
        </w:tc>
        <w:tc>
          <w:tcPr>
            <w:tcW w:w="420" w:type="pct"/>
            <w:tcMar>
              <w:left w:w="28" w:type="dxa"/>
              <w:right w:w="28" w:type="dxa"/>
            </w:tcMar>
            <w:vAlign w:val="center"/>
          </w:tcPr>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专业代码</w:t>
            </w:r>
          </w:p>
        </w:tc>
        <w:tc>
          <w:tcPr>
            <w:tcW w:w="420" w:type="pct"/>
            <w:tcMar>
              <w:left w:w="28" w:type="dxa"/>
              <w:right w:w="28" w:type="dxa"/>
            </w:tcMar>
            <w:vAlign w:val="center"/>
          </w:tcPr>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教学团队</w:t>
            </w:r>
          </w:p>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联系人</w:t>
            </w:r>
          </w:p>
        </w:tc>
        <w:tc>
          <w:tcPr>
            <w:tcW w:w="420" w:type="pct"/>
            <w:tcMar>
              <w:left w:w="28" w:type="dxa"/>
              <w:right w:w="28" w:type="dxa"/>
            </w:tcMar>
            <w:vAlign w:val="center"/>
          </w:tcPr>
          <w:p>
            <w:pPr>
              <w:keepNext w:val="0"/>
              <w:keepLines w:val="0"/>
              <w:pageBreakBefore w:val="0"/>
              <w:widowControl/>
              <w:kinsoku/>
              <w:wordWrap/>
              <w:overflowPunct w:val="0"/>
              <w:topLinePunct w:val="0"/>
              <w:autoSpaceDE w:val="0"/>
              <w:autoSpaceDN w:val="0"/>
              <w:bidi w:val="0"/>
              <w:adjustRightInd/>
              <w:snapToGrid w:val="0"/>
              <w:spacing w:line="360" w:lineRule="exact"/>
              <w:jc w:val="center"/>
              <w:textAlignment w:val="auto"/>
              <w:rPr>
                <w:rFonts w:ascii="黑体" w:hAnsi="黑体" w:eastAsia="黑体" w:cs="黑体"/>
                <w:snapToGrid w:val="0"/>
                <w:kern w:val="0"/>
                <w:sz w:val="24"/>
                <w:szCs w:val="24"/>
              </w:rPr>
            </w:pPr>
            <w:r>
              <w:rPr>
                <w:rFonts w:hint="eastAsia" w:ascii="黑体" w:hAnsi="黑体" w:eastAsia="黑体" w:cs="黑体"/>
                <w:snapToGrid w:val="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p>
        </w:tc>
        <w:tc>
          <w:tcPr>
            <w:tcW w:w="842"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中国特色社会主义</w:t>
            </w:r>
          </w:p>
        </w:tc>
        <w:tc>
          <w:tcPr>
            <w:tcW w:w="1016"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p>
        </w:tc>
        <w:tc>
          <w:tcPr>
            <w:tcW w:w="619"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619"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p>
        </w:tc>
        <w:tc>
          <w:tcPr>
            <w:tcW w:w="842"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心理健康与职业生涯</w:t>
            </w:r>
          </w:p>
        </w:tc>
        <w:tc>
          <w:tcPr>
            <w:tcW w:w="1016"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p>
        </w:tc>
        <w:tc>
          <w:tcPr>
            <w:tcW w:w="619"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619"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p>
        </w:tc>
        <w:tc>
          <w:tcPr>
            <w:tcW w:w="842"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哲学与人生</w:t>
            </w:r>
          </w:p>
        </w:tc>
        <w:tc>
          <w:tcPr>
            <w:tcW w:w="1016"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p>
        </w:tc>
        <w:tc>
          <w:tcPr>
            <w:tcW w:w="619"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619"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p>
        </w:tc>
        <w:tc>
          <w:tcPr>
            <w:tcW w:w="842"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职业道德与法治</w:t>
            </w:r>
          </w:p>
        </w:tc>
        <w:tc>
          <w:tcPr>
            <w:tcW w:w="1016"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2"/>
              </w:rPr>
            </w:pPr>
          </w:p>
        </w:tc>
        <w:tc>
          <w:tcPr>
            <w:tcW w:w="619"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619"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842"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1016"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619"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619"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c>
          <w:tcPr>
            <w:tcW w:w="420" w:type="pct"/>
            <w:tcMar>
              <w:left w:w="28" w:type="dxa"/>
              <w:right w:w="28" w:type="dxa"/>
            </w:tcMar>
            <w:vAlign w:val="center"/>
          </w:tcPr>
          <w:p>
            <w:pPr>
              <w:keepNext w:val="0"/>
              <w:keepLines w:val="0"/>
              <w:pageBreakBefore w:val="0"/>
              <w:kinsoku/>
              <w:wordWrap/>
              <w:overflowPunct w:val="0"/>
              <w:topLinePunct w:val="0"/>
              <w:bidi w:val="0"/>
              <w:adjustRightInd/>
              <w:snapToGrid w:val="0"/>
              <w:spacing w:line="360" w:lineRule="exact"/>
              <w:jc w:val="center"/>
              <w:textAlignment w:val="auto"/>
              <w:rPr>
                <w:rFonts w:ascii="仿宋_GB2312" w:hAnsi="仿宋_GB2312" w:eastAsia="仿宋_GB2312" w:cs="仿宋_GB2312"/>
                <w:snapToGrid w:val="0"/>
                <w:kern w:val="0"/>
                <w:sz w:val="24"/>
                <w:szCs w:val="24"/>
              </w:rPr>
            </w:pPr>
          </w:p>
        </w:tc>
      </w:tr>
    </w:tbl>
    <w:p>
      <w:pPr>
        <w:overflowPunct w:val="0"/>
        <w:snapToGrid w:val="0"/>
        <w:spacing w:line="560" w:lineRule="exact"/>
        <w:rPr>
          <w:rFonts w:ascii="仿宋_GB2312" w:hAnsi="仿宋_GB2312" w:eastAsia="仿宋_GB2312" w:cs="仿宋_GB2312"/>
          <w:snapToGrid w:val="0"/>
          <w:sz w:val="32"/>
          <w:szCs w:val="32"/>
        </w:rPr>
      </w:pPr>
    </w:p>
    <w:p>
      <w:pPr>
        <w:widowControl/>
        <w:overflowPunct w:val="0"/>
        <w:autoSpaceDE w:val="0"/>
        <w:autoSpaceDN w:val="0"/>
        <w:snapToGrid w:val="0"/>
        <w:spacing w:line="560" w:lineRule="exact"/>
        <w:ind w:firstLine="850" w:firstLineChars="200"/>
        <w:rPr>
          <w:rFonts w:ascii="仿宋_GB2312" w:hAnsi="仿宋_GB2312" w:eastAsia="仿宋_GB2312" w:cs="仿宋_GB2312"/>
          <w:snapToGrid w:val="0"/>
          <w:sz w:val="32"/>
          <w:szCs w:val="32"/>
          <w:u w:val="single"/>
        </w:rPr>
      </w:pPr>
      <w:r>
        <w:rPr>
          <w:rFonts w:hint="eastAsia" w:ascii="仿宋_GB2312" w:hAnsi="仿宋_GB2312" w:eastAsia="仿宋_GB2312" w:cs="仿宋_GB2312"/>
          <w:snapToGrid w:val="0"/>
          <w:sz w:val="32"/>
          <w:szCs w:val="32"/>
        </w:rPr>
        <w:t>填表人：</w:t>
      </w:r>
      <w:r>
        <w:rPr>
          <w:rFonts w:hint="eastAsia" w:ascii="仿宋_GB2312" w:hAnsi="仿宋_GB2312" w:eastAsia="仿宋_GB2312" w:cs="仿宋_GB2312"/>
          <w:snapToGrid w:val="0"/>
          <w:sz w:val="32"/>
          <w:szCs w:val="32"/>
          <w:u w:val="single"/>
        </w:rPr>
        <w:t xml:space="preserve">            </w:t>
      </w:r>
      <w:r>
        <w:rPr>
          <w:rFonts w:hint="eastAsia" w:ascii="仿宋_GB2312" w:hAnsi="仿宋_GB2312" w:eastAsia="仿宋_GB2312" w:cs="仿宋_GB2312"/>
          <w:snapToGrid w:val="0"/>
          <w:sz w:val="32"/>
          <w:szCs w:val="32"/>
        </w:rPr>
        <w:t>联系电话：</w:t>
      </w:r>
      <w:r>
        <w:rPr>
          <w:rFonts w:hint="eastAsia" w:ascii="仿宋_GB2312" w:hAnsi="仿宋_GB2312" w:eastAsia="仿宋_GB2312" w:cs="仿宋_GB2312"/>
          <w:snapToGrid w:val="0"/>
          <w:sz w:val="32"/>
          <w:szCs w:val="32"/>
          <w:u w:val="single"/>
        </w:rPr>
        <w:t xml:space="preserve">               </w:t>
      </w:r>
      <w:r>
        <w:rPr>
          <w:rFonts w:hint="eastAsia" w:ascii="仿宋_GB2312" w:hAnsi="仿宋_GB2312" w:eastAsia="仿宋_GB2312" w:cs="仿宋_GB2312"/>
          <w:snapToGrid w:val="0"/>
          <w:sz w:val="32"/>
          <w:szCs w:val="32"/>
        </w:rPr>
        <w:t>电子邮箱：</w:t>
      </w:r>
      <w:r>
        <w:rPr>
          <w:rFonts w:hint="eastAsia" w:ascii="仿宋_GB2312" w:hAnsi="仿宋_GB2312" w:eastAsia="仿宋_GB2312" w:cs="仿宋_GB2312"/>
          <w:snapToGrid w:val="0"/>
          <w:sz w:val="32"/>
          <w:szCs w:val="32"/>
          <w:u w:val="single"/>
        </w:rPr>
        <w:t xml:space="preserve">                  </w:t>
      </w:r>
    </w:p>
    <w:p>
      <w:pPr>
        <w:overflowPunct w:val="0"/>
        <w:snapToGrid w:val="0"/>
        <w:spacing w:line="560" w:lineRule="exact"/>
        <w:rPr>
          <w:rFonts w:ascii="仿宋_GB2312" w:hAnsi="仿宋_GB2312" w:eastAsia="仿宋_GB2312" w:cs="仿宋_GB2312"/>
          <w:snapToGrid w:val="0"/>
          <w:sz w:val="32"/>
          <w:szCs w:val="32"/>
          <w:u w:val="single"/>
        </w:rPr>
      </w:pPr>
    </w:p>
    <w:p>
      <w:pPr>
        <w:overflowPunct w:val="0"/>
        <w:snapToGrid w:val="0"/>
        <w:spacing w:line="560" w:lineRule="exact"/>
        <w:rPr>
          <w:rFonts w:ascii="仿宋_GB2312" w:hAnsi="仿宋_GB2312" w:eastAsia="仿宋_GB2312" w:cs="仿宋_GB2312"/>
          <w:snapToGrid w:val="0"/>
          <w:szCs w:val="21"/>
        </w:rPr>
        <w:sectPr>
          <w:footerReference r:id="rId13" w:type="first"/>
          <w:footerReference r:id="rId12" w:type="default"/>
          <w:pgSz w:w="16838" w:h="11906" w:orient="landscape"/>
          <w:pgMar w:top="1588" w:right="2098" w:bottom="1474" w:left="1985" w:header="851" w:footer="397" w:gutter="0"/>
          <w:cols w:space="720" w:num="1"/>
          <w:titlePg/>
          <w:docGrid w:type="linesAndChars" w:linePitch="579" w:charSpace="21679"/>
        </w:sectPr>
      </w:pPr>
      <w:r>
        <w:rPr>
          <w:rFonts w:hint="eastAsia" w:ascii="仿宋_GB2312" w:hAnsi="仿宋_GB2312" w:eastAsia="仿宋_GB2312" w:cs="仿宋_GB2312"/>
          <w:snapToGrid w:val="0"/>
          <w:szCs w:val="21"/>
        </w:rPr>
        <w:t>注：“授课班级所属专业名称”“专业代码”按《职业教育专业目录（2021年）》（教职成〔2021〕2号，更新时间：2024年1月）填写。</w:t>
      </w:r>
    </w:p>
    <w:p>
      <w:pPr>
        <w:pStyle w:val="8"/>
        <w:ind w:firstLine="200"/>
        <w:rPr>
          <w:lang w:val="en-US"/>
        </w:rPr>
      </w:pPr>
    </w:p>
    <w:p>
      <w:pPr>
        <w:pStyle w:val="8"/>
        <w:ind w:firstLine="0" w:firstLineChars="0"/>
      </w:pPr>
    </w:p>
    <w:p>
      <w:pPr>
        <w:pStyle w:val="8"/>
        <w:ind w:firstLine="200"/>
      </w:pPr>
    </w:p>
    <w:p>
      <w:pPr>
        <w:adjustRightInd w:val="0"/>
        <w:snapToGrid w:val="0"/>
        <w:spacing w:line="540" w:lineRule="exact"/>
        <w:ind w:firstLine="640" w:firstLineChars="200"/>
        <w:rPr>
          <w:rFonts w:ascii="仿宋_GB2312" w:eastAsia="仿宋_GB2312"/>
          <w:sz w:val="32"/>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p>
      <w:pPr>
        <w:pStyle w:val="8"/>
        <w:ind w:firstLine="200"/>
        <w:rPr>
          <w:lang w:val="en-US"/>
        </w:rPr>
      </w:pPr>
    </w:p>
    <w:tbl>
      <w:tblPr>
        <w:tblStyle w:val="9"/>
        <w:tblpPr w:leftFromText="181" w:rightFromText="181" w:vertAnchor="page" w:horzAnchor="page" w:tblpXSpec="center" w:tblpY="13891"/>
        <w:tblOverlap w:val="never"/>
        <w:tblW w:w="8844"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4486"/>
        <w:gridCol w:w="435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trPr>
        <w:tc>
          <w:tcPr>
            <w:tcW w:w="4486" w:type="dxa"/>
            <w:tcBorders>
              <w:tl2br w:val="nil"/>
              <w:tr2bl w:val="nil"/>
            </w:tcBorders>
            <w:noWrap/>
            <w:vAlign w:val="center"/>
          </w:tcPr>
          <w:p>
            <w:pPr>
              <w:ind w:left="210" w:leftChars="100"/>
              <w:rPr>
                <w:rFonts w:ascii="仿宋_GB2312" w:hAnsi="仿宋_GB2312" w:eastAsia="仿宋_GB2312" w:cs="仿宋_GB2312"/>
                <w:sz w:val="28"/>
                <w:szCs w:val="28"/>
              </w:rPr>
            </w:pPr>
            <w:r>
              <w:rPr>
                <w:rFonts w:hint="eastAsia" w:ascii="仿宋_GB2312" w:hAnsi="仿宋_GB2312" w:eastAsia="仿宋_GB2312" w:cs="仿宋_GB2312"/>
                <w:sz w:val="28"/>
                <w:szCs w:val="28"/>
              </w:rPr>
              <w:t>龙岩市教育局办公室</w:t>
            </w:r>
          </w:p>
        </w:tc>
        <w:tc>
          <w:tcPr>
            <w:tcW w:w="4358" w:type="dxa"/>
            <w:tcBorders>
              <w:tl2br w:val="nil"/>
              <w:tr2bl w:val="nil"/>
            </w:tcBorders>
            <w:noWrap/>
            <w:vAlign w:val="center"/>
          </w:tcPr>
          <w:p>
            <w:pPr>
              <w:ind w:right="210" w:rightChars="100"/>
              <w:jc w:val="right"/>
              <w:textAlignment w:val="bottom"/>
              <w:rPr>
                <w:rFonts w:ascii="仿宋_GB2312" w:hAnsi="仿宋_GB2312" w:eastAsia="仿宋_GB2312" w:cs="仿宋_GB2312"/>
                <w:sz w:val="28"/>
                <w:szCs w:val="28"/>
              </w:rPr>
            </w:pPr>
            <w:bookmarkStart w:id="4" w:name="REPE_printdate"/>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bookmarkStart w:id="5" w:name="_GoBack"/>
            <w:bookmarkEnd w:id="5"/>
            <w:r>
              <w:rPr>
                <w:rFonts w:hint="eastAsia" w:ascii="仿宋_GB2312" w:hAnsi="仿宋_GB2312" w:eastAsia="仿宋_GB2312" w:cs="仿宋_GB2312"/>
                <w:sz w:val="28"/>
                <w:szCs w:val="28"/>
              </w:rPr>
              <w:t>日</w:t>
            </w:r>
            <w:bookmarkEnd w:id="4"/>
            <w:r>
              <w:rPr>
                <w:rFonts w:hint="eastAsia" w:ascii="仿宋_GB2312" w:hAnsi="仿宋_GB2312" w:eastAsia="仿宋_GB2312" w:cs="仿宋_GB2312"/>
                <w:sz w:val="28"/>
                <w:szCs w:val="28"/>
              </w:rPr>
              <w:t>印发</w:t>
            </w:r>
          </w:p>
        </w:tc>
      </w:tr>
    </w:tbl>
    <w:p/>
    <w:p/>
    <w:p/>
    <w:p>
      <w:pPr>
        <w:pStyle w:val="8"/>
        <w:ind w:firstLine="200"/>
        <w:rPr>
          <w:lang w:val="en-US"/>
        </w:rPr>
      </w:pPr>
    </w:p>
    <w:sectPr>
      <w:headerReference r:id="rId14" w:type="default"/>
      <w:footerReference r:id="rId1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fldChar w:fldCharType="begin"/>
    </w:r>
    <w:r>
      <w:rPr>
        <w:rStyle w:val="12"/>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ascii="宋体" w:hAnsi="宋体" w:cs="宋体"/>
                              <w:sz w:val="28"/>
                              <w:szCs w:val="36"/>
                            </w:rPr>
                          </w:pPr>
                          <w:r>
                            <w:rPr>
                              <w:rFonts w:hint="eastAsia" w:ascii="宋体" w:hAnsi="宋体" w:cs="宋体"/>
                              <w:sz w:val="28"/>
                              <w:szCs w:val="36"/>
                            </w:rPr>
                            <w:t xml:space="preserve">— </w:t>
                          </w:r>
                          <w:r>
                            <w:rPr>
                              <w:rFonts w:hint="eastAsia" w:ascii="宋体" w:hAnsi="宋体" w:cs="宋体"/>
                              <w:sz w:val="28"/>
                              <w:szCs w:val="36"/>
                            </w:rPr>
                            <w:fldChar w:fldCharType="begin"/>
                          </w:r>
                          <w:r>
                            <w:rPr>
                              <w:rFonts w:hint="eastAsia" w:ascii="宋体" w:hAnsi="宋体" w:cs="宋体"/>
                              <w:sz w:val="28"/>
                              <w:szCs w:val="36"/>
                            </w:rPr>
                            <w:instrText xml:space="preserve"> PAGE  \* MERGEFORMAT </w:instrText>
                          </w:r>
                          <w:r>
                            <w:rPr>
                              <w:rFonts w:hint="eastAsia" w:ascii="宋体" w:hAnsi="宋体" w:cs="宋体"/>
                              <w:sz w:val="28"/>
                              <w:szCs w:val="36"/>
                            </w:rPr>
                            <w:fldChar w:fldCharType="separate"/>
                          </w:r>
                          <w:r>
                            <w:rPr>
                              <w:rFonts w:hint="eastAsia" w:ascii="宋体" w:hAnsi="宋体" w:cs="宋体"/>
                              <w:sz w:val="28"/>
                              <w:szCs w:val="36"/>
                            </w:rPr>
                            <w:t>15</w:t>
                          </w:r>
                          <w:r>
                            <w:rPr>
                              <w:rFonts w:hint="eastAsia" w:ascii="宋体" w:hAnsi="宋体" w:cs="宋体"/>
                              <w:sz w:val="28"/>
                              <w:szCs w:val="36"/>
                            </w:rPr>
                            <w:fldChar w:fldCharType="end"/>
                          </w:r>
                          <w:r>
                            <w:rPr>
                              <w:rFonts w:hint="eastAsia" w:ascii="宋体" w:hAnsi="宋体" w:cs="宋体"/>
                              <w:sz w:val="28"/>
                              <w:szCs w:val="36"/>
                            </w:rPr>
                            <w:t xml:space="preserve"> —</w:t>
                          </w:r>
                        </w:p>
                      </w:txbxContent>
                    </wps:txbx>
                    <wps:bodyPr vert="horz" wrap="none" lIns="0" tIns="0" rIns="0" bIns="0" anchor="t" anchorCtr="false">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s0lY7tAAAAAFAQAADwAAAAAAAAAB&#10;ACAAAAA4AAAAZHJzL2Rvd25yZXYueG1sUEsBAhQAFAAAAAgAh07iQGms+fzJAQAAdQMAAA4AAAAA&#10;AAAAAQAgAAAANQEAAGRycy9lMm9Eb2MueG1sUEsFBgAAAAAGAAYAWQEAAHAFAAAAAA==&#10;">
              <v:fill on="f" focussize="0,0"/>
              <v:stroke on="f" weight="0.5pt"/>
              <v:imagedata o:title=""/>
              <o:lock v:ext="edit" aspectratio="f"/>
              <v:textbox inset="0mm,0mm,0mm,0mm" style="mso-fit-shape-to-text:t;">
                <w:txbxContent>
                  <w:p>
                    <w:pPr>
                      <w:pStyle w:val="4"/>
                      <w:rPr>
                        <w:rFonts w:ascii="宋体" w:hAnsi="宋体" w:cs="宋体"/>
                        <w:sz w:val="28"/>
                        <w:szCs w:val="36"/>
                      </w:rPr>
                    </w:pPr>
                    <w:r>
                      <w:rPr>
                        <w:rFonts w:hint="eastAsia" w:ascii="宋体" w:hAnsi="宋体" w:cs="宋体"/>
                        <w:sz w:val="28"/>
                        <w:szCs w:val="36"/>
                      </w:rPr>
                      <w:t xml:space="preserve">— </w:t>
                    </w:r>
                    <w:r>
                      <w:rPr>
                        <w:rFonts w:hint="eastAsia" w:ascii="宋体" w:hAnsi="宋体" w:cs="宋体"/>
                        <w:sz w:val="28"/>
                        <w:szCs w:val="36"/>
                      </w:rPr>
                      <w:fldChar w:fldCharType="begin"/>
                    </w:r>
                    <w:r>
                      <w:rPr>
                        <w:rFonts w:hint="eastAsia" w:ascii="宋体" w:hAnsi="宋体" w:cs="宋体"/>
                        <w:sz w:val="28"/>
                        <w:szCs w:val="36"/>
                      </w:rPr>
                      <w:instrText xml:space="preserve"> PAGE  \* MERGEFORMAT </w:instrText>
                    </w:r>
                    <w:r>
                      <w:rPr>
                        <w:rFonts w:hint="eastAsia" w:ascii="宋体" w:hAnsi="宋体" w:cs="宋体"/>
                        <w:sz w:val="28"/>
                        <w:szCs w:val="36"/>
                      </w:rPr>
                      <w:fldChar w:fldCharType="separate"/>
                    </w:r>
                    <w:r>
                      <w:rPr>
                        <w:rFonts w:hint="eastAsia" w:ascii="宋体" w:hAnsi="宋体" w:cs="宋体"/>
                        <w:sz w:val="28"/>
                        <w:szCs w:val="36"/>
                      </w:rPr>
                      <w:t>15</w:t>
                    </w:r>
                    <w:r>
                      <w:rPr>
                        <w:rFonts w:hint="eastAsia" w:ascii="宋体" w:hAnsi="宋体" w:cs="宋体"/>
                        <w:sz w:val="28"/>
                        <w:szCs w:val="36"/>
                      </w:rPr>
                      <w:fldChar w:fldCharType="end"/>
                    </w:r>
                    <w:r>
                      <w:rPr>
                        <w:rFonts w:hint="eastAsia" w:ascii="宋体" w:hAnsi="宋体" w:cs="宋体"/>
                        <w:sz w:val="28"/>
                        <w:szCs w:val="36"/>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ascii="宋体" w:hAnsi="宋体" w:cs="宋体"/>
                              <w:sz w:val="28"/>
                              <w:szCs w:val="36"/>
                            </w:rPr>
                          </w:pPr>
                          <w:r>
                            <w:rPr>
                              <w:rFonts w:hint="eastAsia" w:ascii="宋体" w:hAnsi="宋体" w:cs="宋体"/>
                              <w:sz w:val="28"/>
                              <w:szCs w:val="36"/>
                            </w:rPr>
                            <w:t xml:space="preserve">— </w:t>
                          </w:r>
                          <w:r>
                            <w:rPr>
                              <w:rFonts w:hint="eastAsia" w:ascii="宋体" w:hAnsi="宋体" w:cs="宋体"/>
                              <w:sz w:val="28"/>
                              <w:szCs w:val="36"/>
                            </w:rPr>
                            <w:fldChar w:fldCharType="begin"/>
                          </w:r>
                          <w:r>
                            <w:rPr>
                              <w:rFonts w:hint="eastAsia" w:ascii="宋体" w:hAnsi="宋体" w:cs="宋体"/>
                              <w:sz w:val="28"/>
                              <w:szCs w:val="36"/>
                            </w:rPr>
                            <w:instrText xml:space="preserve"> PAGE  \* MERGEFORMAT </w:instrText>
                          </w:r>
                          <w:r>
                            <w:rPr>
                              <w:rFonts w:hint="eastAsia" w:ascii="宋体" w:hAnsi="宋体" w:cs="宋体"/>
                              <w:sz w:val="28"/>
                              <w:szCs w:val="36"/>
                            </w:rPr>
                            <w:fldChar w:fldCharType="separate"/>
                          </w:r>
                          <w:r>
                            <w:rPr>
                              <w:rFonts w:hint="eastAsia" w:ascii="宋体" w:hAnsi="宋体" w:cs="宋体"/>
                              <w:sz w:val="28"/>
                              <w:szCs w:val="36"/>
                            </w:rPr>
                            <w:t>16</w:t>
                          </w:r>
                          <w:r>
                            <w:rPr>
                              <w:rFonts w:hint="eastAsia" w:ascii="宋体" w:hAnsi="宋体" w:cs="宋体"/>
                              <w:sz w:val="28"/>
                              <w:szCs w:val="36"/>
                            </w:rPr>
                            <w:fldChar w:fldCharType="end"/>
                          </w:r>
                          <w:r>
                            <w:rPr>
                              <w:rFonts w:hint="eastAsia" w:ascii="宋体" w:hAnsi="宋体" w:cs="宋体"/>
                              <w:sz w:val="28"/>
                              <w:szCs w:val="36"/>
                            </w:rPr>
                            <w:t xml:space="preserve"> —</w:t>
                          </w:r>
                        </w:p>
                      </w:txbxContent>
                    </wps:txbx>
                    <wps:bodyPr vert="horz" wrap="none" lIns="0" tIns="0" rIns="0" bIns="0" anchor="t" anchorCtr="false">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LNJWO7QAAAABQEAAA8AAAAAAAAA&#10;AQAgAAAAOAAAAGRycy9kb3ducmV2LnhtbFBLAQIUABQAAAAIAIdO4kAwwQWeygEAAHUDAAAOAAAA&#10;AAAAAAEAIAAAADUBAABkcnMvZTJvRG9jLnhtbFBLBQYAAAAABgAGAFkBAABxBQAAAAA=&#10;">
              <v:fill on="f" focussize="0,0"/>
              <v:stroke on="f" weight="0.5pt"/>
              <v:imagedata o:title=""/>
              <o:lock v:ext="edit" aspectratio="f"/>
              <v:textbox inset="0mm,0mm,0mm,0mm" style="mso-fit-shape-to-text:t;">
                <w:txbxContent>
                  <w:p>
                    <w:pPr>
                      <w:pStyle w:val="4"/>
                      <w:rPr>
                        <w:rFonts w:ascii="宋体" w:hAnsi="宋体" w:cs="宋体"/>
                        <w:sz w:val="28"/>
                        <w:szCs w:val="36"/>
                      </w:rPr>
                    </w:pPr>
                    <w:r>
                      <w:rPr>
                        <w:rFonts w:hint="eastAsia" w:ascii="宋体" w:hAnsi="宋体" w:cs="宋体"/>
                        <w:sz w:val="28"/>
                        <w:szCs w:val="36"/>
                      </w:rPr>
                      <w:t xml:space="preserve">— </w:t>
                    </w:r>
                    <w:r>
                      <w:rPr>
                        <w:rFonts w:hint="eastAsia" w:ascii="宋体" w:hAnsi="宋体" w:cs="宋体"/>
                        <w:sz w:val="28"/>
                        <w:szCs w:val="36"/>
                      </w:rPr>
                      <w:fldChar w:fldCharType="begin"/>
                    </w:r>
                    <w:r>
                      <w:rPr>
                        <w:rFonts w:hint="eastAsia" w:ascii="宋体" w:hAnsi="宋体" w:cs="宋体"/>
                        <w:sz w:val="28"/>
                        <w:szCs w:val="36"/>
                      </w:rPr>
                      <w:instrText xml:space="preserve"> PAGE  \* MERGEFORMAT </w:instrText>
                    </w:r>
                    <w:r>
                      <w:rPr>
                        <w:rFonts w:hint="eastAsia" w:ascii="宋体" w:hAnsi="宋体" w:cs="宋体"/>
                        <w:sz w:val="28"/>
                        <w:szCs w:val="36"/>
                      </w:rPr>
                      <w:fldChar w:fldCharType="separate"/>
                    </w:r>
                    <w:r>
                      <w:rPr>
                        <w:rFonts w:hint="eastAsia" w:ascii="宋体" w:hAnsi="宋体" w:cs="宋体"/>
                        <w:sz w:val="28"/>
                        <w:szCs w:val="36"/>
                      </w:rPr>
                      <w:t>16</w:t>
                    </w:r>
                    <w:r>
                      <w:rPr>
                        <w:rFonts w:hint="eastAsia" w:ascii="宋体" w:hAnsi="宋体" w:cs="宋体"/>
                        <w:sz w:val="28"/>
                        <w:szCs w:val="36"/>
                      </w:rPr>
                      <w:fldChar w:fldCharType="end"/>
                    </w:r>
                    <w:r>
                      <w:rPr>
                        <w:rFonts w:hint="eastAsia" w:ascii="宋体" w:hAnsi="宋体" w:cs="宋体"/>
                        <w:sz w:val="28"/>
                        <w:szCs w:val="36"/>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zSVju0AAAAAUBAAAPAAAAAAAA&#10;AAEAIAAAADgAAABkcnMvZG93bnJldi54bWxQSwECFAAUAAAACACHTuJAUcjrXcsBAAB1AwAADgAA&#10;AAAAAAABACAAAAA1AQAAZHJzL2Uyb0RvYy54bWxQSwUGAAAAAAYABgBZAQAAcg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false">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s0lY7tAAAAAFAQAADwAAAAAA&#10;AAABACAAAAA4AAAAZHJzL2Rvd25yZXYueG1sUEsBAhQAFAAAAAgAh07iQJP8dgvMAQAAdQMAAA4A&#10;AAAAAAAAAQAgAAAANQEAAGRycy9lMm9Eb2MueG1sUEsFBgAAAAAGAAYAWQEAAHM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9</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llWQFQ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llWQFQIAABsEAAAOAAAAAAAAAAEAIAAAADUBAABkcnMvZTJvRG9jLnhtbFBLBQYAAAAABgAG&#10;AFkBAAC8BQAAAAA=&#10;">
              <v:fill on="f" focussize="0,0"/>
              <v:stroke on="f" weight="0.5pt"/>
              <v:imagedata o:title=""/>
              <o:lock v:ext="edit" aspectratio="f"/>
              <v:textbox inset="0mm,0mm,0mm,0mm" style="mso-fit-shape-to-text:t;">
                <w:txbxContent>
                  <w:p>
                    <w:pPr>
                      <w:pStyle w:val="4"/>
                    </w:pPr>
                    <w:r>
                      <w:rPr>
                        <w:rFonts w:hint="eastAsia"/>
                      </w:rPr>
                      <w:t>9</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6"/>
        <w:rPr>
          <w:rFonts w:ascii="仿宋_GB2312" w:hAnsi="仿宋_GB2312" w:eastAsia="仿宋_GB2312" w:cs="仿宋_GB2312"/>
          <w:sz w:val="21"/>
          <w:szCs w:val="21"/>
        </w:rPr>
      </w:pPr>
      <w:r>
        <w:rPr>
          <w:rStyle w:val="13"/>
          <w:rFonts w:hint="eastAsia" w:ascii="仿宋_GB2312" w:hAnsi="仿宋_GB2312" w:eastAsia="仿宋_GB2312" w:cs="仿宋_GB2312"/>
          <w:sz w:val="21"/>
          <w:szCs w:val="21"/>
          <w:vertAlign w:val="baseline"/>
        </w:rPr>
        <w:footnoteRef/>
      </w:r>
      <w:r>
        <w:rPr>
          <w:rFonts w:hint="eastAsia" w:ascii="仿宋_GB2312" w:hAnsi="仿宋_GB2312" w:eastAsia="仿宋_GB2312" w:cs="仿宋_GB2312"/>
          <w:sz w:val="21"/>
          <w:szCs w:val="21"/>
        </w:rPr>
        <w:t xml:space="preserve"> “授课班级所属专业名称”“专业代码”按《职业教育专业目录（2021年）》（教职成〔2021〕2号，更新时间：2024年1月）填写。</w:t>
      </w:r>
    </w:p>
  </w:footnote>
  <w:footnote w:id="1">
    <w:p>
      <w:pPr>
        <w:pStyle w:val="6"/>
        <w:rPr>
          <w:rFonts w:ascii="仿宋_GB2312" w:hAnsi="仿宋_GB2312" w:eastAsia="仿宋_GB2312" w:cs="仿宋_GB2312"/>
          <w:sz w:val="21"/>
          <w:szCs w:val="21"/>
        </w:rPr>
      </w:pPr>
      <w:r>
        <w:rPr>
          <w:rStyle w:val="13"/>
          <w:rFonts w:hint="eastAsia" w:ascii="仿宋_GB2312" w:hAnsi="仿宋_GB2312" w:eastAsia="仿宋_GB2312" w:cs="仿宋_GB2312"/>
          <w:sz w:val="21"/>
          <w:szCs w:val="21"/>
          <w:vertAlign w:val="baseline"/>
        </w:rPr>
        <w:footnoteRef/>
      </w:r>
      <w:r>
        <w:rPr>
          <w:rFonts w:hint="eastAsia" w:ascii="仿宋_GB2312" w:hAnsi="仿宋_GB2312" w:eastAsia="仿宋_GB2312" w:cs="仿宋_GB2312"/>
          <w:sz w:val="21"/>
          <w:szCs w:val="21"/>
        </w:rPr>
        <w:t xml:space="preserve"> 教学团队全部成员逐一添加填写。</w:t>
      </w:r>
    </w:p>
  </w:footnote>
  <w:footnote w:id="2">
    <w:p>
      <w:pPr>
        <w:pStyle w:val="6"/>
        <w:rPr>
          <w:rFonts w:ascii="仿宋_GB2312" w:hAnsi="仿宋_GB2312" w:eastAsia="仿宋_GB2312" w:cs="仿宋_GB2312"/>
          <w:sz w:val="21"/>
          <w:szCs w:val="21"/>
        </w:rPr>
      </w:pPr>
      <w:r>
        <w:rPr>
          <w:rStyle w:val="13"/>
          <w:rFonts w:hint="eastAsia" w:ascii="仿宋_GB2312" w:hAnsi="仿宋_GB2312" w:eastAsia="仿宋_GB2312" w:cs="仿宋_GB2312"/>
          <w:sz w:val="21"/>
          <w:szCs w:val="21"/>
          <w:vertAlign w:val="baseline"/>
        </w:rPr>
        <w:footnoteRef/>
      </w:r>
      <w:r>
        <w:rPr>
          <w:rFonts w:hint="eastAsia" w:ascii="仿宋_GB2312" w:hAnsi="仿宋_GB2312" w:eastAsia="仿宋_GB2312" w:cs="仿宋_GB2312"/>
          <w:sz w:val="21"/>
          <w:szCs w:val="21"/>
        </w:rPr>
        <w:t xml:space="preserve"> 教学团队全部成员逐一添加填写。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F4CFC"/>
    <w:multiLevelType w:val="singleLevel"/>
    <w:tmpl w:val="AA7F4C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7D73596"/>
    <w:rsid w:val="000445F4"/>
    <w:rsid w:val="000708DD"/>
    <w:rsid w:val="00074EBD"/>
    <w:rsid w:val="00082F6B"/>
    <w:rsid w:val="0009215C"/>
    <w:rsid w:val="00097187"/>
    <w:rsid w:val="000D5686"/>
    <w:rsid w:val="00100FA3"/>
    <w:rsid w:val="00147B2A"/>
    <w:rsid w:val="00285F07"/>
    <w:rsid w:val="00324F80"/>
    <w:rsid w:val="00345D51"/>
    <w:rsid w:val="003670C8"/>
    <w:rsid w:val="00391A51"/>
    <w:rsid w:val="003B31DA"/>
    <w:rsid w:val="003D03D3"/>
    <w:rsid w:val="00430259"/>
    <w:rsid w:val="0044068E"/>
    <w:rsid w:val="00462380"/>
    <w:rsid w:val="004647C7"/>
    <w:rsid w:val="004E0750"/>
    <w:rsid w:val="00535717"/>
    <w:rsid w:val="0055092D"/>
    <w:rsid w:val="006771B8"/>
    <w:rsid w:val="006C6825"/>
    <w:rsid w:val="006D0789"/>
    <w:rsid w:val="00710B56"/>
    <w:rsid w:val="007A2681"/>
    <w:rsid w:val="007B5FE1"/>
    <w:rsid w:val="007C5A9C"/>
    <w:rsid w:val="00877025"/>
    <w:rsid w:val="008A3721"/>
    <w:rsid w:val="008C03B3"/>
    <w:rsid w:val="008E282A"/>
    <w:rsid w:val="008E473F"/>
    <w:rsid w:val="008E53F8"/>
    <w:rsid w:val="00904262"/>
    <w:rsid w:val="009332E1"/>
    <w:rsid w:val="0096090B"/>
    <w:rsid w:val="009C39ED"/>
    <w:rsid w:val="00A75F79"/>
    <w:rsid w:val="00A80C62"/>
    <w:rsid w:val="00AD697D"/>
    <w:rsid w:val="00AE50EA"/>
    <w:rsid w:val="00B37713"/>
    <w:rsid w:val="00B47901"/>
    <w:rsid w:val="00BD47EE"/>
    <w:rsid w:val="00C1598C"/>
    <w:rsid w:val="00C83313"/>
    <w:rsid w:val="00C977A2"/>
    <w:rsid w:val="00CE0D3F"/>
    <w:rsid w:val="00D07C03"/>
    <w:rsid w:val="00D718EC"/>
    <w:rsid w:val="00DA0D25"/>
    <w:rsid w:val="00DA3546"/>
    <w:rsid w:val="00DA59CA"/>
    <w:rsid w:val="00DD0966"/>
    <w:rsid w:val="00DF76CF"/>
    <w:rsid w:val="00E15AD5"/>
    <w:rsid w:val="00E90802"/>
    <w:rsid w:val="00F238D9"/>
    <w:rsid w:val="00FC7655"/>
    <w:rsid w:val="276FE6DC"/>
    <w:rsid w:val="34F5399E"/>
    <w:rsid w:val="37CF6DA9"/>
    <w:rsid w:val="3F7F8EB7"/>
    <w:rsid w:val="3FE7E9C1"/>
    <w:rsid w:val="57FA86EC"/>
    <w:rsid w:val="74FFEECC"/>
    <w:rsid w:val="757666FD"/>
    <w:rsid w:val="77D79124"/>
    <w:rsid w:val="7A3FB65A"/>
    <w:rsid w:val="7A77A4EB"/>
    <w:rsid w:val="7BFF301F"/>
    <w:rsid w:val="7E7C5FC8"/>
    <w:rsid w:val="7EFFA929"/>
    <w:rsid w:val="7FC524D8"/>
    <w:rsid w:val="7FF83720"/>
    <w:rsid w:val="A77FAB83"/>
    <w:rsid w:val="AEF795B6"/>
    <w:rsid w:val="BBFF4ADA"/>
    <w:rsid w:val="BFFF5E13"/>
    <w:rsid w:val="D7D73596"/>
    <w:rsid w:val="DDF7E48D"/>
    <w:rsid w:val="DE5F9E85"/>
    <w:rsid w:val="DFEF46A4"/>
    <w:rsid w:val="E765FD33"/>
    <w:rsid w:val="E7750167"/>
    <w:rsid w:val="EBEDA85F"/>
    <w:rsid w:val="F76E350B"/>
    <w:rsid w:val="F7FDE4ED"/>
    <w:rsid w:val="F7FF40AF"/>
    <w:rsid w:val="FCFA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rPr>
      <w:rFonts w:ascii="仿宋_GB2312" w:hAnsi="仿宋_GB2312" w:eastAsia="仿宋_GB2312" w:cs="仿宋_GB2312"/>
      <w:sz w:val="32"/>
      <w:szCs w:val="32"/>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paragraph" w:styleId="7">
    <w:name w:val="Normal (Web)"/>
    <w:basedOn w:val="1"/>
    <w:qFormat/>
    <w:uiPriority w:val="0"/>
    <w:pPr>
      <w:spacing w:after="0"/>
      <w:jc w:val="left"/>
    </w:pPr>
    <w:rPr>
      <w:rFonts w:ascii="宋体" w:hAnsi="宋体"/>
      <w:kern w:val="0"/>
      <w:sz w:val="24"/>
      <w:szCs w:val="24"/>
    </w:rPr>
  </w:style>
  <w:style w:type="paragraph" w:styleId="8">
    <w:name w:val="Body Text First Indent"/>
    <w:basedOn w:val="3"/>
    <w:unhideWhenUsed/>
    <w:qFormat/>
    <w:uiPriority w:val="99"/>
    <w:pPr>
      <w:ind w:firstLine="420" w:firstLineChars="100"/>
    </w:pPr>
    <w:rPr>
      <w:rFonts w:ascii="Calibri" w:hAnsi="Calibri" w:eastAsia="宋体"/>
      <w:kern w:val="0"/>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otnote reference"/>
    <w:basedOn w:val="11"/>
    <w:unhideWhenUsed/>
    <w:qFormat/>
    <w:uiPriority w:val="99"/>
    <w:rPr>
      <w:vertAlign w:val="superscript"/>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605</Words>
  <Characters>3453</Characters>
  <Lines>28</Lines>
  <Paragraphs>8</Paragraphs>
  <TotalTime>8</TotalTime>
  <ScaleCrop>false</ScaleCrop>
  <LinksUpToDate>false</LinksUpToDate>
  <CharactersWithSpaces>4050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2024-04-10T14:29:00Z</dcterms:created>
  <dc:creator>lyadmin</dc:creator>
  <cp:lastModifiedBy>lyadmin</cp:lastModifiedBy>
  <cp:lastPrinted>2023-03-23T22:49:00Z</cp:lastPrinted>
  <dcterms:modified xsi:type="dcterms:W3CDTF">2024-04-15T10:15:25Z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